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DE6008" w14:textId="4BABE2F5" w:rsidR="00D01E27" w:rsidRPr="00992B61" w:rsidRDefault="00D01E27" w:rsidP="00FE2391">
      <w:pPr>
        <w:pStyle w:val="Rubrik"/>
      </w:pPr>
      <w:r w:rsidRPr="004B0450">
        <w:t xml:space="preserve">Information till dig som </w:t>
      </w:r>
      <w:r w:rsidR="00FE2391">
        <w:t>skall</w:t>
      </w:r>
      <w:r w:rsidRPr="004B0450">
        <w:t xml:space="preserve"> genomgå säkerhetsprövning för placerin</w:t>
      </w:r>
      <w:r>
        <w:t>g i säkerhetsklassat uppdrag för FMV</w:t>
      </w:r>
    </w:p>
    <w:p w14:paraId="7416E6F9" w14:textId="461AA99B" w:rsidR="00D01E27" w:rsidRDefault="00D01E27" w:rsidP="00D01E27">
      <w:pPr>
        <w:pStyle w:val="Brdtext1"/>
      </w:pPr>
      <w:r>
        <w:t xml:space="preserve">Enligt säkerhetsskyddslagen (2018:585) </w:t>
      </w:r>
      <w:r w:rsidR="00FE2391">
        <w:t>skall</w:t>
      </w:r>
      <w:r>
        <w:t xml:space="preserve"> myndigheter och andra som lagstiftningen gäller för </w:t>
      </w:r>
      <w:proofErr w:type="gramStart"/>
      <w:r>
        <w:t>vidta</w:t>
      </w:r>
      <w:r w:rsidR="00FE2391">
        <w:t>ga</w:t>
      </w:r>
      <w:proofErr w:type="gramEnd"/>
      <w:r>
        <w:t xml:space="preserve"> förebyggande åtgärder för att skydda mot brott som kan hota </w:t>
      </w:r>
      <w:r w:rsidR="0046418A">
        <w:t xml:space="preserve">Sveriges </w:t>
      </w:r>
      <w:r>
        <w:t xml:space="preserve">säkerhet, såsom spioneri och sabotage. Säkerhetsprövning utgör tillsammans med tillträdesskydd och informationssäkerhetsskydd grunden för detta förebyggande arbete. Genom säkerhetsskyddsavtal förs dessa krav över på våra leverantörer.                                                                                                                      </w:t>
      </w:r>
    </w:p>
    <w:p w14:paraId="2DA7D705" w14:textId="77777777" w:rsidR="00D01E27" w:rsidRDefault="00D01E27" w:rsidP="00D01E27">
      <w:pPr>
        <w:pStyle w:val="Brdtext1"/>
      </w:pPr>
    </w:p>
    <w:p w14:paraId="1AF09856" w14:textId="508CAFEE" w:rsidR="00D01E27" w:rsidRDefault="00D01E27" w:rsidP="00D01E27">
      <w:pPr>
        <w:pStyle w:val="Brdtext1"/>
      </w:pPr>
      <w:r>
        <w:t xml:space="preserve">I det uppdrag som du </w:t>
      </w:r>
      <w:r w:rsidR="00FE2391">
        <w:t>skall</w:t>
      </w:r>
      <w:r>
        <w:t xml:space="preserve"> arbeta i har det bedömts att du kan komma i kontakt med uppgifter för vilka det enligt offentlighets- och sekretesslagen (2009:400) råder sekretess med hänsyn till </w:t>
      </w:r>
      <w:r w:rsidR="00E8786C">
        <w:t xml:space="preserve">Sveriges </w:t>
      </w:r>
      <w:r>
        <w:t xml:space="preserve">säkerhet. Tjänsten </w:t>
      </w:r>
      <w:r w:rsidR="00FE2391">
        <w:t xml:space="preserve">(befattningen) </w:t>
      </w:r>
      <w:r>
        <w:t>har därför placerats i säkerhetsklass vilket innebär att du kommer att genomgå en säkerhetsprövning. Säkerhetsskyddsförordningen (</w:t>
      </w:r>
      <w:r w:rsidR="009323E3">
        <w:t>2018:658</w:t>
      </w:r>
      <w:r>
        <w:t xml:space="preserve">) fastställer att säkerhetsprövningen </w:t>
      </w:r>
      <w:r w:rsidR="00FE2391">
        <w:t>skall</w:t>
      </w:r>
      <w:r>
        <w:t xml:space="preserve"> grundas på:</w:t>
      </w:r>
    </w:p>
    <w:p w14:paraId="1B10D397" w14:textId="77777777" w:rsidR="00D01E27" w:rsidRDefault="00D01E27" w:rsidP="00D01E27">
      <w:pPr>
        <w:pStyle w:val="Brdtext1"/>
        <w:rPr>
          <w:rFonts w:ascii="Arial" w:hAnsi="Arial" w:cs="Arial"/>
        </w:rPr>
      </w:pPr>
    </w:p>
    <w:p w14:paraId="6F92121B" w14:textId="52BA2FB1" w:rsidR="00D01E27" w:rsidRPr="00AE431E" w:rsidRDefault="00FE2391" w:rsidP="00D01E27">
      <w:pPr>
        <w:pStyle w:val="Brdtext1"/>
        <w:numPr>
          <w:ilvl w:val="0"/>
          <w:numId w:val="3"/>
        </w:numPr>
      </w:pPr>
      <w:r>
        <w:t>Den personliga kännedom</w:t>
      </w:r>
      <w:r w:rsidR="00D01E27" w:rsidRPr="00AE431E">
        <w:t xml:space="preserve"> som finns om den som prövningen gäller,</w:t>
      </w:r>
    </w:p>
    <w:p w14:paraId="51CD963C" w14:textId="77777777" w:rsidR="00D01E27" w:rsidRPr="00AE431E" w:rsidRDefault="00D01E27" w:rsidP="00D01E27">
      <w:pPr>
        <w:pStyle w:val="Brdtext1"/>
        <w:numPr>
          <w:ilvl w:val="0"/>
          <w:numId w:val="3"/>
        </w:numPr>
      </w:pPr>
      <w:r w:rsidRPr="00AE431E">
        <w:t>Uppgifter som framgår av betyg, intyg och referenser med mera</w:t>
      </w:r>
    </w:p>
    <w:p w14:paraId="57096286" w14:textId="5943C0C7" w:rsidR="00D01E27" w:rsidRPr="00AE431E" w:rsidRDefault="00D01E27" w:rsidP="00D01E27">
      <w:pPr>
        <w:pStyle w:val="Brdtext1"/>
        <w:numPr>
          <w:ilvl w:val="0"/>
          <w:numId w:val="3"/>
        </w:numPr>
      </w:pPr>
      <w:r w:rsidRPr="00AE431E">
        <w:t>Uppgifter som har framkommit vid registerkontroll (alla säkerhet</w:t>
      </w:r>
      <w:r w:rsidR="00E8786C">
        <w:t>s</w:t>
      </w:r>
      <w:r w:rsidRPr="00AE431E">
        <w:t>klasser) och särskild</w:t>
      </w:r>
    </w:p>
    <w:p w14:paraId="1E1589A5" w14:textId="77777777" w:rsidR="00D01E27" w:rsidRPr="00AE431E" w:rsidRDefault="00D01E27" w:rsidP="00D01E27">
      <w:pPr>
        <w:pStyle w:val="Brdtext1"/>
        <w:ind w:left="720"/>
      </w:pPr>
      <w:r w:rsidRPr="00AE431E">
        <w:t>personutredning (säkerhetsklass 1 och 2).</w:t>
      </w:r>
    </w:p>
    <w:p w14:paraId="3B4E460D" w14:textId="77777777" w:rsidR="00D01E27" w:rsidRDefault="00D01E27" w:rsidP="00D01E27">
      <w:pPr>
        <w:pStyle w:val="Brdtext1"/>
        <w:rPr>
          <w:rFonts w:ascii="Arial" w:hAnsi="Arial" w:cs="Arial"/>
        </w:rPr>
      </w:pPr>
    </w:p>
    <w:p w14:paraId="44E222A9" w14:textId="5DD02752" w:rsidR="00D01E27" w:rsidRPr="00AE431E" w:rsidRDefault="00D01E27" w:rsidP="00D01E27">
      <w:pPr>
        <w:pStyle w:val="Brdtext1"/>
      </w:pPr>
      <w:r w:rsidRPr="00AE431E">
        <w:t xml:space="preserve">Säkerhetsprövningen omfattar </w:t>
      </w:r>
      <w:r>
        <w:t xml:space="preserve">för övrigt </w:t>
      </w:r>
      <w:r w:rsidRPr="00AE431E">
        <w:t xml:space="preserve">alla de åtgärder som syftar till att samla så mycket information som möjligt om dig för att utifrån denna kunna avgöra om du kan bedömas lojal mot de intressen som skyddas i offentlighets- och sekretesslagen (2009:400), säkerhetsskyddslagen och säkerhetsskyddsförordningen och </w:t>
      </w:r>
      <w:r>
        <w:t>att du för</w:t>
      </w:r>
      <w:r w:rsidRPr="00AE431E">
        <w:t xml:space="preserve"> övrigt är pålitlig från säkerhetsskyddsynpunkt.</w:t>
      </w:r>
      <w:r>
        <w:t xml:space="preserve"> Säkerhetsprövningen </w:t>
      </w:r>
      <w:r w:rsidR="00FE2391">
        <w:t>skall</w:t>
      </w:r>
      <w:r>
        <w:t xml:space="preserve"> även komma fram till om det finns några försvårande sårbarheter.</w:t>
      </w:r>
    </w:p>
    <w:p w14:paraId="3258813E" w14:textId="77777777" w:rsidR="00D01E27" w:rsidRPr="00AE431E" w:rsidRDefault="00D01E27" w:rsidP="00D01E27">
      <w:pPr>
        <w:pStyle w:val="Brdtext1"/>
      </w:pPr>
    </w:p>
    <w:p w14:paraId="54F0EFBB" w14:textId="0695CC2C" w:rsidR="00D01E27" w:rsidRDefault="00D01E27" w:rsidP="00C66BD6">
      <w:pPr>
        <w:pStyle w:val="Brdtext1"/>
      </w:pPr>
      <w:r w:rsidRPr="00AE431E">
        <w:t>Du kommer som ett led i säkerhetsprövningen</w:t>
      </w:r>
      <w:r>
        <w:t xml:space="preserve"> att genomgå ett säkerhetsprövningssamtal </w:t>
      </w:r>
      <w:r w:rsidR="00C66BD6">
        <w:t>och en registerkontroll.</w:t>
      </w:r>
    </w:p>
    <w:p w14:paraId="3BC6654A" w14:textId="77777777" w:rsidR="00C66BD6" w:rsidRDefault="00C66BD6" w:rsidP="00C66BD6">
      <w:pPr>
        <w:pStyle w:val="Brdtext1"/>
      </w:pPr>
    </w:p>
    <w:p w14:paraId="3A29AF8D" w14:textId="77777777" w:rsidR="00D01E27" w:rsidRDefault="00D01E27" w:rsidP="00FE2391">
      <w:pPr>
        <w:pStyle w:val="Rubrik1"/>
      </w:pPr>
      <w:r>
        <w:t>Säkerhetsprövningssamtal</w:t>
      </w:r>
    </w:p>
    <w:p w14:paraId="03744F0A" w14:textId="46A31F8F" w:rsidR="00D01E27" w:rsidRDefault="00D01E27" w:rsidP="00C66BD6">
      <w:pPr>
        <w:pStyle w:val="Brdtext1"/>
      </w:pPr>
      <w:r>
        <w:t>Säkerhetsprövningssamtalet är en stor och viktig del av säkerhetsprövningen</w:t>
      </w:r>
      <w:r w:rsidRPr="00AE431E">
        <w:t xml:space="preserve"> och kommer att beröra dina personliga förhållanden. Detta är nödvändigt för att ta reda på om det kan finnas risk för dubbla lojaliteter och medföljande intressekonflikt eller andra förhållanden som kan göra dig mer sårbar för påtryckningar.</w:t>
      </w:r>
      <w:r>
        <w:t xml:space="preserve"> </w:t>
      </w:r>
      <w:r w:rsidRPr="00261D3B">
        <w:t>Exempel p</w:t>
      </w:r>
      <w:r w:rsidRPr="00261D3B">
        <w:rPr>
          <w:rFonts w:hint="eastAsia"/>
        </w:rPr>
        <w:t>å</w:t>
      </w:r>
      <w:r w:rsidRPr="00261D3B">
        <w:t xml:space="preserve"> omr</w:t>
      </w:r>
      <w:r w:rsidRPr="00261D3B">
        <w:rPr>
          <w:rFonts w:hint="eastAsia"/>
        </w:rPr>
        <w:t>å</w:t>
      </w:r>
      <w:r w:rsidRPr="00261D3B">
        <w:t xml:space="preserve">den som kan komma att diskuteras </w:t>
      </w:r>
      <w:r w:rsidRPr="00261D3B">
        <w:rPr>
          <w:rFonts w:hint="eastAsia"/>
        </w:rPr>
        <w:t>ä</w:t>
      </w:r>
      <w:r w:rsidR="001F4045">
        <w:t>r ditt</w:t>
      </w:r>
      <w:r w:rsidRPr="00261D3B">
        <w:t xml:space="preserve"> umg</w:t>
      </w:r>
      <w:r w:rsidRPr="00261D3B">
        <w:rPr>
          <w:rFonts w:hint="eastAsia"/>
        </w:rPr>
        <w:t>ä</w:t>
      </w:r>
      <w:r w:rsidRPr="00261D3B">
        <w:t xml:space="preserve">nge, </w:t>
      </w:r>
      <w:r w:rsidR="001F4045">
        <w:t xml:space="preserve">din </w:t>
      </w:r>
      <w:r w:rsidRPr="00261D3B">
        <w:t xml:space="preserve">ekonomi, utlandsresor, </w:t>
      </w:r>
      <w:r w:rsidR="001F4045">
        <w:t xml:space="preserve">dina </w:t>
      </w:r>
      <w:r w:rsidRPr="00261D3B">
        <w:t xml:space="preserve">fritidsintressen, </w:t>
      </w:r>
      <w:r w:rsidR="001F4045">
        <w:t xml:space="preserve">eventuell </w:t>
      </w:r>
      <w:r w:rsidRPr="00261D3B">
        <w:t>mis</w:t>
      </w:r>
      <w:r>
        <w:t>sbruksproblematik, kriminalitet och</w:t>
      </w:r>
      <w:r w:rsidRPr="00261D3B">
        <w:t xml:space="preserve"> </w:t>
      </w:r>
      <w:r w:rsidR="001F4045">
        <w:t xml:space="preserve">dina </w:t>
      </w:r>
      <w:r w:rsidRPr="00261D3B">
        <w:t>personliga egen</w:t>
      </w:r>
      <w:r w:rsidR="00FE2391">
        <w:t>ska</w:t>
      </w:r>
      <w:r w:rsidRPr="00261D3B">
        <w:t>per</w:t>
      </w:r>
      <w:r>
        <w:t>.</w:t>
      </w:r>
      <w:r w:rsidR="001F4045">
        <w:t xml:space="preserve"> Det är viktigt att du är helt ärlig och öppen under samtalet. Den du samtalar med har tystnadsplikt enligt 5 kap 1 § säkerhetsskyddslagen 2018:585):</w:t>
      </w:r>
    </w:p>
    <w:p w14:paraId="7AFE9BDE" w14:textId="52664636" w:rsidR="001F4045" w:rsidRDefault="001F4045" w:rsidP="00C66BD6">
      <w:pPr>
        <w:pStyle w:val="Brdtext1"/>
      </w:pPr>
    </w:p>
    <w:p w14:paraId="71237399" w14:textId="35C53D27" w:rsidR="001F4045" w:rsidRPr="001F4045" w:rsidRDefault="001F4045" w:rsidP="001F4045">
      <w:pPr>
        <w:pStyle w:val="Brdtext1"/>
        <w:rPr>
          <w:i/>
        </w:rPr>
      </w:pPr>
      <w:r w:rsidRPr="001F4045">
        <w:rPr>
          <w:i/>
        </w:rPr>
        <w:t>Den som med stöd av denna lag har fått del av uppgifter som förekommer i angelägenhet som avser säkerhetsprövning får inte obehörigen röja eller utnyttja dessa uppgifter. I det allmännas verksamhet tillämpas i stället bestämmelserna i offentlighets- och sekretesslagen (2009:400).</w:t>
      </w:r>
    </w:p>
    <w:p w14:paraId="38A060A8" w14:textId="44D0B4A3" w:rsidR="001F4045" w:rsidRDefault="001F4045" w:rsidP="00C66BD6">
      <w:pPr>
        <w:pStyle w:val="Brdtext1"/>
      </w:pPr>
    </w:p>
    <w:p w14:paraId="009AE126" w14:textId="52EA10E3" w:rsidR="00C66BD6" w:rsidRDefault="00C66BD6" w:rsidP="00C66BD6">
      <w:pPr>
        <w:pStyle w:val="Brdtext1"/>
      </w:pPr>
    </w:p>
    <w:p w14:paraId="2008F0E7" w14:textId="0691FEBC" w:rsidR="00D01E27" w:rsidRDefault="00D01E27" w:rsidP="00FE2391">
      <w:pPr>
        <w:pStyle w:val="Rubrik1"/>
      </w:pPr>
      <w:r w:rsidRPr="00386450">
        <w:lastRenderedPageBreak/>
        <w:t>Registerkontroll</w:t>
      </w:r>
    </w:p>
    <w:p w14:paraId="120E7F39" w14:textId="77777777" w:rsidR="00D01E27" w:rsidRPr="00AE431E" w:rsidRDefault="00D01E27" w:rsidP="00D01E27">
      <w:pPr>
        <w:pStyle w:val="Brdtext1"/>
      </w:pPr>
      <w:r>
        <w:t xml:space="preserve">Registerkontroll genomförs för placering i säkerhetsklassad befattning. </w:t>
      </w:r>
      <w:r w:rsidRPr="00AE431E">
        <w:t>Det finns tre olika s</w:t>
      </w:r>
      <w:r w:rsidRPr="00AE431E">
        <w:rPr>
          <w:rFonts w:hint="eastAsia"/>
        </w:rPr>
        <w:t>ä</w:t>
      </w:r>
      <w:r w:rsidRPr="00AE431E">
        <w:t>kerhetsklasser. Dessa definieras utifr</w:t>
      </w:r>
      <w:r w:rsidRPr="00AE431E">
        <w:rPr>
          <w:rFonts w:hint="eastAsia"/>
        </w:rPr>
        <w:t>å</w:t>
      </w:r>
      <w:r w:rsidRPr="00AE431E">
        <w:t>n om den anst</w:t>
      </w:r>
      <w:r w:rsidRPr="00AE431E">
        <w:rPr>
          <w:rFonts w:hint="eastAsia"/>
        </w:rPr>
        <w:t>ä</w:t>
      </w:r>
      <w:r w:rsidRPr="00AE431E">
        <w:t>llde eller den som annars deltar i verksamheten:</w:t>
      </w:r>
    </w:p>
    <w:p w14:paraId="5133751D" w14:textId="6A9377CE" w:rsidR="00D01E27" w:rsidRDefault="00D01E27" w:rsidP="00D01E27">
      <w:pPr>
        <w:pStyle w:val="Brdtext1"/>
      </w:pPr>
    </w:p>
    <w:p w14:paraId="36681804" w14:textId="3EB823E3" w:rsidR="00FE2391" w:rsidRPr="00AE431E" w:rsidRDefault="00FE2391" w:rsidP="00FE2391">
      <w:pPr>
        <w:pStyle w:val="Rubrik2"/>
      </w:pPr>
      <w:r>
        <w:t>Säkerhetsklass 1</w:t>
      </w:r>
    </w:p>
    <w:p w14:paraId="0C5DE647" w14:textId="143AF54B" w:rsidR="00FE2391" w:rsidRPr="00FE2391" w:rsidRDefault="00D01E27" w:rsidP="00FE2391">
      <w:pPr>
        <w:pStyle w:val="Default"/>
        <w:rPr>
          <w:rFonts w:ascii="Garamond" w:hAnsi="Garamond"/>
          <w:szCs w:val="23"/>
        </w:rPr>
      </w:pPr>
      <w:r w:rsidRPr="00FE2391">
        <w:rPr>
          <w:rFonts w:ascii="Garamond" w:hAnsi="Garamond"/>
          <w:szCs w:val="23"/>
        </w:rPr>
        <w:t xml:space="preserve">En anställning eller något annat deltagande i säkerhetskänslig verksamhet </w:t>
      </w:r>
      <w:r w:rsidR="00FE2391" w:rsidRPr="00FE2391">
        <w:rPr>
          <w:rFonts w:ascii="Garamond" w:hAnsi="Garamond"/>
          <w:szCs w:val="23"/>
        </w:rPr>
        <w:t>skall</w:t>
      </w:r>
      <w:r w:rsidRPr="00FE2391">
        <w:rPr>
          <w:rFonts w:ascii="Garamond" w:hAnsi="Garamond"/>
          <w:szCs w:val="23"/>
        </w:rPr>
        <w:t xml:space="preserve"> placeras i </w:t>
      </w:r>
      <w:r w:rsidRPr="00FE2391">
        <w:rPr>
          <w:rFonts w:ascii="Garamond" w:hAnsi="Garamond"/>
          <w:i/>
          <w:iCs/>
          <w:szCs w:val="23"/>
        </w:rPr>
        <w:t>säkerhetsklass 1</w:t>
      </w:r>
      <w:r w:rsidRPr="00FE2391">
        <w:rPr>
          <w:rFonts w:ascii="Garamond" w:hAnsi="Garamond"/>
          <w:szCs w:val="23"/>
        </w:rPr>
        <w:t xml:space="preserve">, om den anställde eller den som på annat sätt deltar i verksamheten </w:t>
      </w:r>
    </w:p>
    <w:p w14:paraId="233556BE" w14:textId="77777777" w:rsidR="00FE2391" w:rsidRPr="00FE2391" w:rsidRDefault="00D01E27" w:rsidP="00FE2391">
      <w:pPr>
        <w:pStyle w:val="Default"/>
        <w:numPr>
          <w:ilvl w:val="0"/>
          <w:numId w:val="9"/>
        </w:numPr>
        <w:rPr>
          <w:rFonts w:ascii="Garamond" w:hAnsi="Garamond"/>
          <w:szCs w:val="23"/>
        </w:rPr>
      </w:pPr>
      <w:r w:rsidRPr="00FE2391">
        <w:rPr>
          <w:rFonts w:ascii="Garamond" w:hAnsi="Garamond"/>
          <w:szCs w:val="23"/>
        </w:rPr>
        <w:t xml:space="preserve">i en omfattning som inte är ringa får del av uppgifter i säkerhetsskyddsklassen kvalificerat hemlig, eller </w:t>
      </w:r>
    </w:p>
    <w:p w14:paraId="4B232F74" w14:textId="475F0450" w:rsidR="00D01E27" w:rsidRPr="00FE2391" w:rsidRDefault="00D01E27" w:rsidP="00FE2391">
      <w:pPr>
        <w:pStyle w:val="Default"/>
        <w:numPr>
          <w:ilvl w:val="0"/>
          <w:numId w:val="9"/>
        </w:numPr>
        <w:rPr>
          <w:rFonts w:ascii="Garamond" w:hAnsi="Garamond"/>
          <w:szCs w:val="23"/>
        </w:rPr>
      </w:pPr>
      <w:r w:rsidRPr="00FE2391">
        <w:rPr>
          <w:rFonts w:ascii="Garamond" w:hAnsi="Garamond"/>
          <w:szCs w:val="23"/>
        </w:rPr>
        <w:t xml:space="preserve">till följd av sitt deltagande i verksamheten har möjlighet att orsaka synnerligen allvarlig  </w:t>
      </w:r>
      <w:r w:rsidR="00FE2391" w:rsidRPr="00FE2391">
        <w:rPr>
          <w:rFonts w:ascii="Garamond" w:hAnsi="Garamond"/>
          <w:szCs w:val="23"/>
        </w:rPr>
        <w:t>ska</w:t>
      </w:r>
      <w:r w:rsidRPr="00FE2391">
        <w:rPr>
          <w:rFonts w:ascii="Garamond" w:hAnsi="Garamond"/>
          <w:szCs w:val="23"/>
        </w:rPr>
        <w:t>da för Sveriges säkerhet.</w:t>
      </w:r>
    </w:p>
    <w:p w14:paraId="0A1C7E0F" w14:textId="55BBB67C" w:rsidR="00FE2391" w:rsidRDefault="00FE2391" w:rsidP="00FE2391">
      <w:pPr>
        <w:pStyle w:val="Brdtext1"/>
        <w:rPr>
          <w:sz w:val="28"/>
        </w:rPr>
      </w:pPr>
    </w:p>
    <w:p w14:paraId="1D548F49" w14:textId="0F8F6D42" w:rsidR="00FE2391" w:rsidRPr="00DC6B50" w:rsidRDefault="00D81603" w:rsidP="00D81603">
      <w:pPr>
        <w:pStyle w:val="Rubrik2"/>
      </w:pPr>
      <w:r>
        <w:t>Säkerhetsklass 2</w:t>
      </w:r>
    </w:p>
    <w:p w14:paraId="1FE05739" w14:textId="2965AFFE" w:rsidR="00D01E27" w:rsidRPr="00DC6B50" w:rsidRDefault="00D01E27" w:rsidP="00FE2391">
      <w:pPr>
        <w:pStyle w:val="Default"/>
        <w:rPr>
          <w:rFonts w:ascii="Garamond" w:hAnsi="Garamond"/>
          <w:szCs w:val="23"/>
        </w:rPr>
      </w:pPr>
      <w:r w:rsidRPr="00DC6B50">
        <w:rPr>
          <w:rFonts w:ascii="Garamond" w:hAnsi="Garamond"/>
          <w:szCs w:val="23"/>
        </w:rPr>
        <w:t>En anställning eller något annat del</w:t>
      </w:r>
      <w:r w:rsidR="00FE2391">
        <w:rPr>
          <w:rFonts w:ascii="Garamond" w:hAnsi="Garamond"/>
          <w:szCs w:val="23"/>
        </w:rPr>
        <w:t>tagande i säkerhetskänslig verk</w:t>
      </w:r>
      <w:r w:rsidRPr="00DC6B50">
        <w:rPr>
          <w:rFonts w:ascii="Garamond" w:hAnsi="Garamond"/>
          <w:szCs w:val="23"/>
        </w:rPr>
        <w:t xml:space="preserve">samhet </w:t>
      </w:r>
      <w:r w:rsidR="00FE2391">
        <w:rPr>
          <w:rFonts w:ascii="Garamond" w:hAnsi="Garamond"/>
          <w:szCs w:val="23"/>
        </w:rPr>
        <w:t>skall</w:t>
      </w:r>
      <w:r w:rsidRPr="00DC6B50">
        <w:rPr>
          <w:rFonts w:ascii="Garamond" w:hAnsi="Garamond"/>
          <w:szCs w:val="23"/>
        </w:rPr>
        <w:t xml:space="preserve"> placeras i </w:t>
      </w:r>
      <w:r w:rsidRPr="00DC6B50">
        <w:rPr>
          <w:rFonts w:ascii="Garamond" w:hAnsi="Garamond"/>
          <w:i/>
          <w:iCs/>
          <w:szCs w:val="23"/>
        </w:rPr>
        <w:t>säkerhetsklass 2</w:t>
      </w:r>
      <w:r w:rsidRPr="00DC6B50">
        <w:rPr>
          <w:rFonts w:ascii="Garamond" w:hAnsi="Garamond"/>
          <w:szCs w:val="23"/>
        </w:rPr>
        <w:t xml:space="preserve">, om den anställde eller den som på annat sätt deltar i verksamheten </w:t>
      </w:r>
    </w:p>
    <w:p w14:paraId="75F3B407" w14:textId="77777777" w:rsidR="00D81603" w:rsidRPr="00D81603" w:rsidRDefault="00D01E27" w:rsidP="00D81603">
      <w:pPr>
        <w:pStyle w:val="Default"/>
        <w:numPr>
          <w:ilvl w:val="0"/>
          <w:numId w:val="10"/>
        </w:numPr>
        <w:rPr>
          <w:rFonts w:ascii="Garamond" w:hAnsi="Garamond"/>
          <w:szCs w:val="23"/>
        </w:rPr>
      </w:pPr>
      <w:r w:rsidRPr="00D81603">
        <w:rPr>
          <w:rFonts w:ascii="Garamond" w:hAnsi="Garamond"/>
          <w:szCs w:val="23"/>
        </w:rPr>
        <w:t xml:space="preserve">i en omfattning som inte är ringa får del av uppgifter i säkerhetsskyddsklassen hemlig, </w:t>
      </w:r>
    </w:p>
    <w:p w14:paraId="54CF0B77" w14:textId="77777777" w:rsidR="00D81603" w:rsidRPr="00D81603" w:rsidRDefault="00D01E27" w:rsidP="00D81603">
      <w:pPr>
        <w:pStyle w:val="Default"/>
        <w:numPr>
          <w:ilvl w:val="0"/>
          <w:numId w:val="10"/>
        </w:numPr>
        <w:rPr>
          <w:rFonts w:ascii="Garamond" w:hAnsi="Garamond"/>
          <w:szCs w:val="23"/>
        </w:rPr>
      </w:pPr>
      <w:r w:rsidRPr="00D81603">
        <w:rPr>
          <w:rFonts w:ascii="Garamond" w:hAnsi="Garamond"/>
          <w:szCs w:val="23"/>
        </w:rPr>
        <w:t xml:space="preserve">i ringa omfattning får del av uppgifter i säkerhetsskyddsklassen kvalificerat hemlig, eller </w:t>
      </w:r>
    </w:p>
    <w:p w14:paraId="243B3114" w14:textId="25554F47" w:rsidR="00D01E27" w:rsidRPr="00D81603" w:rsidRDefault="00D01E27" w:rsidP="00D81603">
      <w:pPr>
        <w:pStyle w:val="Default"/>
        <w:numPr>
          <w:ilvl w:val="0"/>
          <w:numId w:val="10"/>
        </w:numPr>
        <w:rPr>
          <w:rFonts w:ascii="Garamond" w:hAnsi="Garamond"/>
          <w:szCs w:val="23"/>
        </w:rPr>
      </w:pPr>
      <w:r w:rsidRPr="00D81603">
        <w:rPr>
          <w:rFonts w:ascii="Garamond" w:hAnsi="Garamond"/>
          <w:szCs w:val="23"/>
        </w:rPr>
        <w:t xml:space="preserve">till följd av sitt deltagande i verksamheten har möjlighet att orsaka allvarlig </w:t>
      </w:r>
      <w:r w:rsidR="00FE2391" w:rsidRPr="00D81603">
        <w:rPr>
          <w:rFonts w:ascii="Garamond" w:hAnsi="Garamond"/>
          <w:szCs w:val="23"/>
        </w:rPr>
        <w:t>ska</w:t>
      </w:r>
      <w:r w:rsidRPr="00D81603">
        <w:rPr>
          <w:rFonts w:ascii="Garamond" w:hAnsi="Garamond"/>
          <w:szCs w:val="23"/>
        </w:rPr>
        <w:t>da för Sveriges säkerhet.</w:t>
      </w:r>
    </w:p>
    <w:p w14:paraId="6CE7E23A" w14:textId="74C89289" w:rsidR="00FE2391" w:rsidRDefault="00FE2391" w:rsidP="00FE2391">
      <w:pPr>
        <w:pStyle w:val="Brdtext1"/>
        <w:rPr>
          <w:szCs w:val="23"/>
        </w:rPr>
      </w:pPr>
    </w:p>
    <w:p w14:paraId="4DAA77AC" w14:textId="05361D7C" w:rsidR="00D81603" w:rsidRPr="00DC6B50" w:rsidRDefault="00D81603" w:rsidP="00D81603">
      <w:pPr>
        <w:pStyle w:val="Rubrik2"/>
      </w:pPr>
      <w:r>
        <w:t>Säkerhetsklass 3</w:t>
      </w:r>
    </w:p>
    <w:p w14:paraId="0DD69121" w14:textId="50A28C87" w:rsidR="00D01E27" w:rsidRPr="00DC6B50" w:rsidRDefault="00D01E27" w:rsidP="00D81603">
      <w:pPr>
        <w:pStyle w:val="Brdtext1"/>
        <w:rPr>
          <w:sz w:val="28"/>
        </w:rPr>
      </w:pPr>
      <w:r w:rsidRPr="00DC6B50">
        <w:rPr>
          <w:szCs w:val="23"/>
        </w:rPr>
        <w:t xml:space="preserve">En anställning eller något annat deltagande i säkerhetskänslig verk-samhet </w:t>
      </w:r>
      <w:r w:rsidR="00FE2391">
        <w:rPr>
          <w:szCs w:val="23"/>
        </w:rPr>
        <w:t>skall</w:t>
      </w:r>
      <w:r w:rsidRPr="00DC6B50">
        <w:rPr>
          <w:szCs w:val="23"/>
        </w:rPr>
        <w:t xml:space="preserve"> placeras i </w:t>
      </w:r>
      <w:r w:rsidRPr="00DC6B50">
        <w:rPr>
          <w:i/>
          <w:iCs/>
          <w:szCs w:val="23"/>
        </w:rPr>
        <w:t>säkerhetsklass 3</w:t>
      </w:r>
      <w:r w:rsidRPr="00DC6B50">
        <w:rPr>
          <w:szCs w:val="23"/>
        </w:rPr>
        <w:t xml:space="preserve">, om den anställde eller den som på annat sätt deltar i verksamheten </w:t>
      </w:r>
    </w:p>
    <w:p w14:paraId="614503DA" w14:textId="77777777" w:rsidR="00D81603" w:rsidRPr="00D81603" w:rsidRDefault="00D01E27" w:rsidP="00D81603">
      <w:pPr>
        <w:pStyle w:val="Default"/>
        <w:numPr>
          <w:ilvl w:val="0"/>
          <w:numId w:val="11"/>
        </w:numPr>
        <w:rPr>
          <w:rFonts w:ascii="Garamond" w:hAnsi="Garamond"/>
          <w:szCs w:val="23"/>
        </w:rPr>
      </w:pPr>
      <w:r w:rsidRPr="00D81603">
        <w:rPr>
          <w:rFonts w:ascii="Garamond" w:hAnsi="Garamond"/>
          <w:szCs w:val="23"/>
        </w:rPr>
        <w:t xml:space="preserve">får del av uppgifter i säkerhetsskyddsklassen konfidentiell, </w:t>
      </w:r>
    </w:p>
    <w:p w14:paraId="6842BD34" w14:textId="77777777" w:rsidR="00D81603" w:rsidRPr="00D81603" w:rsidRDefault="00D01E27" w:rsidP="00D81603">
      <w:pPr>
        <w:pStyle w:val="Default"/>
        <w:numPr>
          <w:ilvl w:val="0"/>
          <w:numId w:val="11"/>
        </w:numPr>
        <w:rPr>
          <w:rFonts w:ascii="Garamond" w:hAnsi="Garamond"/>
          <w:szCs w:val="23"/>
        </w:rPr>
      </w:pPr>
      <w:r w:rsidRPr="00D81603">
        <w:rPr>
          <w:rFonts w:ascii="Garamond" w:hAnsi="Garamond"/>
          <w:szCs w:val="23"/>
        </w:rPr>
        <w:t xml:space="preserve">i ringa omfattning får del av uppgifter i säkerhetsskyddsklassen hemlig, eller </w:t>
      </w:r>
    </w:p>
    <w:p w14:paraId="5DECD96D" w14:textId="519BFCEC" w:rsidR="00D01E27" w:rsidRPr="00D81603" w:rsidRDefault="00D01E27" w:rsidP="00D81603">
      <w:pPr>
        <w:pStyle w:val="Default"/>
        <w:numPr>
          <w:ilvl w:val="0"/>
          <w:numId w:val="11"/>
        </w:numPr>
        <w:rPr>
          <w:rFonts w:ascii="Garamond" w:hAnsi="Garamond"/>
          <w:szCs w:val="23"/>
        </w:rPr>
      </w:pPr>
      <w:r w:rsidRPr="00D81603">
        <w:rPr>
          <w:rFonts w:ascii="Garamond" w:hAnsi="Garamond"/>
          <w:szCs w:val="23"/>
        </w:rPr>
        <w:t xml:space="preserve">till följd av sitt deltagande i verksamheten har möjlighet att orsaka en inte obetydlig </w:t>
      </w:r>
      <w:r w:rsidR="00FE2391" w:rsidRPr="00D81603">
        <w:rPr>
          <w:rFonts w:ascii="Garamond" w:hAnsi="Garamond"/>
          <w:szCs w:val="23"/>
        </w:rPr>
        <w:t>ska</w:t>
      </w:r>
      <w:r w:rsidRPr="00D81603">
        <w:rPr>
          <w:rFonts w:ascii="Garamond" w:hAnsi="Garamond"/>
          <w:szCs w:val="23"/>
        </w:rPr>
        <w:t>da för Sveriges säkerhet.</w:t>
      </w:r>
    </w:p>
    <w:p w14:paraId="73F92FCC" w14:textId="6C24C41C" w:rsidR="00D81603" w:rsidRDefault="00D81603" w:rsidP="00D01E27">
      <w:pPr>
        <w:pStyle w:val="Brdtext1"/>
      </w:pPr>
    </w:p>
    <w:p w14:paraId="6C9FC163" w14:textId="6318BA56" w:rsidR="000C245E" w:rsidRDefault="00D01E27" w:rsidP="00D01E27">
      <w:pPr>
        <w:pStyle w:val="Brdtext1"/>
      </w:pPr>
      <w:r w:rsidRPr="00AE431E">
        <w:t xml:space="preserve">Personer </w:t>
      </w:r>
      <w:r>
        <w:t xml:space="preserve">med uppdrag </w:t>
      </w:r>
      <w:r w:rsidRPr="00AE431E">
        <w:t xml:space="preserve">i befattningar som </w:t>
      </w:r>
      <w:r w:rsidRPr="00AE431E">
        <w:rPr>
          <w:rFonts w:hint="eastAsia"/>
        </w:rPr>
        <w:t>ä</w:t>
      </w:r>
      <w:r w:rsidRPr="00AE431E">
        <w:t>r placerade i s</w:t>
      </w:r>
      <w:r w:rsidRPr="00AE431E">
        <w:rPr>
          <w:rFonts w:hint="eastAsia"/>
        </w:rPr>
        <w:t>ä</w:t>
      </w:r>
      <w:r w:rsidRPr="00AE431E">
        <w:t xml:space="preserve">kerhetsklass </w:t>
      </w:r>
      <w:r w:rsidR="00FE2391">
        <w:t>skall</w:t>
      </w:r>
      <w:r w:rsidRPr="00AE431E">
        <w:t xml:space="preserve"> enligt säkerhetsskyddslagen (</w:t>
      </w:r>
      <w:r>
        <w:t>2018:585</w:t>
      </w:r>
      <w:r w:rsidRPr="00AE431E">
        <w:t>) genomgå registerkontroll. Denna registerkontroll g</w:t>
      </w:r>
      <w:r w:rsidRPr="00AE431E">
        <w:rPr>
          <w:rFonts w:hint="eastAsia"/>
        </w:rPr>
        <w:t>ö</w:t>
      </w:r>
      <w:r w:rsidRPr="00AE431E">
        <w:t>rs, efter samtycke fr</w:t>
      </w:r>
      <w:r w:rsidRPr="00AE431E">
        <w:rPr>
          <w:rFonts w:hint="eastAsia"/>
        </w:rPr>
        <w:t>å</w:t>
      </w:r>
      <w:r w:rsidRPr="00AE431E">
        <w:t>n dig, hos S</w:t>
      </w:r>
      <w:r w:rsidRPr="00AE431E">
        <w:rPr>
          <w:rFonts w:hint="eastAsia"/>
        </w:rPr>
        <w:t>ä</w:t>
      </w:r>
      <w:r w:rsidRPr="00AE431E">
        <w:t xml:space="preserve">kerhetspolisen efter begäran av Försvarets materielverk. </w:t>
      </w:r>
    </w:p>
    <w:p w14:paraId="32D79F9D" w14:textId="77777777" w:rsidR="003235E8" w:rsidRDefault="00D01E27" w:rsidP="00D01E27">
      <w:pPr>
        <w:pStyle w:val="Brdtext1"/>
      </w:pPr>
      <w:r w:rsidRPr="00AE431E">
        <w:t>För säkerhetsklass 1 och 2 görs även en särskild personutredning. Detta innebär, förutom ekonomisk kontroll av dig, även registerkontroll och ekonomisk kontroll av make/maka eller sambo. I säkerhetsklass 1 genomförs denna kontroll av ytterligare anhöriga. Dessutom kan ett personligt samtal som hålls av Säpo bli aktuellt om din tjä</w:t>
      </w:r>
      <w:r>
        <w:t xml:space="preserve">nst är placerad säkerhetsklass 1. </w:t>
      </w:r>
    </w:p>
    <w:p w14:paraId="07C9D786" w14:textId="77777777" w:rsidR="00D01E27" w:rsidRPr="00AE431E" w:rsidRDefault="00D01E27" w:rsidP="00D01E27">
      <w:pPr>
        <w:pStyle w:val="Brdtext1"/>
      </w:pPr>
    </w:p>
    <w:p w14:paraId="655DEEEB" w14:textId="3E5EA575" w:rsidR="00D01E27" w:rsidRPr="00AE431E" w:rsidRDefault="00D81603" w:rsidP="00D01E27">
      <w:pPr>
        <w:pStyle w:val="Brdtext1"/>
      </w:pPr>
      <w:r>
        <w:t>Säkerhetspolisen gör en slagning i:</w:t>
      </w:r>
    </w:p>
    <w:p w14:paraId="5FA392E6" w14:textId="77777777" w:rsidR="00D01E27" w:rsidRPr="00AE431E" w:rsidRDefault="00D01E27" w:rsidP="00D01E27">
      <w:pPr>
        <w:pStyle w:val="Brdtext1"/>
        <w:numPr>
          <w:ilvl w:val="0"/>
          <w:numId w:val="4"/>
        </w:numPr>
      </w:pPr>
      <w:r w:rsidRPr="00AE431E">
        <w:t>Misstankeregistret, som är ett register där man förekommer om man under en pågående utredning eller rättsprocess står uppsatt som minst skäligen misstänkt</w:t>
      </w:r>
    </w:p>
    <w:p w14:paraId="2147601E" w14:textId="11EE5C0E" w:rsidR="00D01E27" w:rsidRPr="00AE431E" w:rsidRDefault="00D01E27" w:rsidP="00D01E27">
      <w:pPr>
        <w:pStyle w:val="Brdtext1"/>
        <w:numPr>
          <w:ilvl w:val="0"/>
          <w:numId w:val="4"/>
        </w:numPr>
      </w:pPr>
      <w:r w:rsidRPr="00AE431E">
        <w:t>Brotts- och belastningsregistret där alla lagakraftvunna domar, oavsett påföljd</w:t>
      </w:r>
      <w:r w:rsidR="003235E8">
        <w:t>,</w:t>
      </w:r>
      <w:bookmarkStart w:id="0" w:name="_GoBack"/>
      <w:bookmarkEnd w:id="0"/>
      <w:r w:rsidRPr="00AE431E">
        <w:t xml:space="preserve"> registreras</w:t>
      </w:r>
    </w:p>
    <w:p w14:paraId="4A3F1B37" w14:textId="77777777" w:rsidR="00D01E27" w:rsidRPr="00AE431E" w:rsidRDefault="00D01E27" w:rsidP="00D01E27">
      <w:pPr>
        <w:pStyle w:val="Brdtext1"/>
        <w:numPr>
          <w:ilvl w:val="0"/>
          <w:numId w:val="4"/>
        </w:numPr>
      </w:pPr>
      <w:r w:rsidRPr="00AE431E">
        <w:t xml:space="preserve">Polisens allmänna spaningsregister, brukar även kallas Säpo-registret </w:t>
      </w:r>
    </w:p>
    <w:p w14:paraId="685946B9" w14:textId="77777777" w:rsidR="003235E8" w:rsidRDefault="003235E8" w:rsidP="00D01E27">
      <w:pPr>
        <w:pStyle w:val="Brdtext1"/>
      </w:pPr>
    </w:p>
    <w:p w14:paraId="1BFFA95A" w14:textId="276EFFD5" w:rsidR="00D01E27" w:rsidRPr="00AE431E" w:rsidRDefault="00D01E27" w:rsidP="00D01E27">
      <w:pPr>
        <w:pStyle w:val="Brdtext1"/>
      </w:pPr>
      <w:r w:rsidRPr="00AE431E">
        <w:lastRenderedPageBreak/>
        <w:t>Regleringen av dessa register återfinns i polisdatalagen</w:t>
      </w:r>
      <w:r w:rsidR="00D81603">
        <w:t xml:space="preserve"> (2010:361)</w:t>
      </w:r>
      <w:r w:rsidRPr="00AE431E">
        <w:t>.</w:t>
      </w:r>
    </w:p>
    <w:p w14:paraId="43D10733" w14:textId="2249B8AF" w:rsidR="00C66BD6" w:rsidRDefault="00C66BD6" w:rsidP="00D01E27">
      <w:pPr>
        <w:pStyle w:val="Brdtext1"/>
        <w:rPr>
          <w:rFonts w:ascii="Arial" w:hAnsi="Arial" w:cs="Arial"/>
        </w:rPr>
      </w:pPr>
    </w:p>
    <w:p w14:paraId="285D147D" w14:textId="77777777" w:rsidR="00D01E27" w:rsidRPr="00C66BD6" w:rsidRDefault="00D01E27" w:rsidP="00D81603">
      <w:pPr>
        <w:pStyle w:val="Rubrik2"/>
      </w:pPr>
      <w:r w:rsidRPr="00C66BD6">
        <w:t>Registerkontrolldelegationen</w:t>
      </w:r>
    </w:p>
    <w:p w14:paraId="75A6B60C" w14:textId="3E12D3E9" w:rsidR="00D01E27" w:rsidRDefault="00D01E27" w:rsidP="00C66BD6">
      <w:pPr>
        <w:pStyle w:val="Brdtext1"/>
      </w:pPr>
      <w:r w:rsidRPr="00AE431E">
        <w:t xml:space="preserve">Registerkontrolldelegationen har till uppgift att i ärenden om registerkontroll pröva frågor om utlämnande av uppgifter från register. Vid ett utfall i registerkontrollen gör delegationen en relevansbedömning som ligger till grund för om uppgiften </w:t>
      </w:r>
      <w:r w:rsidR="00FE2391">
        <w:t>skall</w:t>
      </w:r>
      <w:r w:rsidRPr="00AE431E">
        <w:t xml:space="preserve"> lämnas ut till FMV eller inte. Om beslut tas om att uppg</w:t>
      </w:r>
      <w:r>
        <w:t xml:space="preserve">ifterna </w:t>
      </w:r>
      <w:r w:rsidR="00FE2391">
        <w:t>skall</w:t>
      </w:r>
      <w:r>
        <w:t xml:space="preserve"> lämnas ut kommer Säkerhetspolisen</w:t>
      </w:r>
      <w:r w:rsidRPr="00AE431E">
        <w:t xml:space="preserve"> att kontakta dig först. Du har då en möjlighet att </w:t>
      </w:r>
      <w:r>
        <w:t xml:space="preserve">komma med synpunkter eller </w:t>
      </w:r>
      <w:r w:rsidRPr="00AE431E">
        <w:t xml:space="preserve">dra tillbaka din ansökan om du inte vill att dessa uppgifter </w:t>
      </w:r>
      <w:r w:rsidR="00FE2391">
        <w:t>skall</w:t>
      </w:r>
      <w:r w:rsidRPr="00AE431E">
        <w:t xml:space="preserve"> nå FMV.  </w:t>
      </w:r>
      <w:r w:rsidR="00D81603">
        <w:t>Om du vill dra tillbaka din ansökan skall du kontakta säkerhetschefen hos din arbetsgivare.</w:t>
      </w:r>
    </w:p>
    <w:p w14:paraId="0296E51F" w14:textId="77777777" w:rsidR="00C66BD6" w:rsidRDefault="00C66BD6" w:rsidP="00C66BD6">
      <w:pPr>
        <w:pStyle w:val="Brdtext1"/>
      </w:pPr>
    </w:p>
    <w:p w14:paraId="17A2DB94" w14:textId="77777777" w:rsidR="00D01E27" w:rsidRDefault="00D01E27" w:rsidP="00D81603">
      <w:pPr>
        <w:pStyle w:val="Rubrik2"/>
        <w:rPr>
          <w:bCs/>
        </w:rPr>
      </w:pPr>
      <w:r w:rsidRPr="00D81603">
        <w:t>Helhetsbedömning</w:t>
      </w:r>
    </w:p>
    <w:p w14:paraId="6859CCA9" w14:textId="15ADACB1" w:rsidR="00D01E27" w:rsidRDefault="00D01E27" w:rsidP="00D01E27">
      <w:pPr>
        <w:pStyle w:val="Brdtext1"/>
      </w:pPr>
      <w:r w:rsidRPr="00AE431E">
        <w:t xml:space="preserve">När all information samlats in från </w:t>
      </w:r>
      <w:r>
        <w:t>samtal</w:t>
      </w:r>
      <w:r w:rsidRPr="00AE431E">
        <w:t xml:space="preserve">, referenstagning, </w:t>
      </w:r>
      <w:r>
        <w:t>säkerhetsprövningssamtal</w:t>
      </w:r>
      <w:r w:rsidR="00D81603">
        <w:t xml:space="preserve"> och registerkontroll gör FMV</w:t>
      </w:r>
      <w:r w:rsidRPr="00AE431E">
        <w:t xml:space="preserve"> en helhetsbedömning av det som framkommit. Det innebär att ett eventuellt utfall i registerkontrollen inte behöver vara direkt avgörande för</w:t>
      </w:r>
      <w:r>
        <w:t xml:space="preserve"> placering i säkerhetsklass</w:t>
      </w:r>
      <w:r w:rsidRPr="00AE431E">
        <w:t xml:space="preserve">. Det kan dock vara </w:t>
      </w:r>
      <w:r>
        <w:t xml:space="preserve">starkt </w:t>
      </w:r>
      <w:r w:rsidRPr="00AE431E">
        <w:t xml:space="preserve">försvårande om det framkommer uppgifter som inte tagits upp vid det föregående </w:t>
      </w:r>
      <w:r>
        <w:t>säkerhetsprövningssamtal</w:t>
      </w:r>
      <w:r w:rsidRPr="00AE431E">
        <w:t xml:space="preserve">et. </w:t>
      </w:r>
      <w:r>
        <w:t xml:space="preserve">Det är FMV som </w:t>
      </w:r>
      <w:r w:rsidR="001F4045">
        <w:t xml:space="preserve">beslutar om en sökande kan </w:t>
      </w:r>
      <w:r>
        <w:t>placer</w:t>
      </w:r>
      <w:r w:rsidR="001F4045">
        <w:t>as</w:t>
      </w:r>
      <w:bookmarkStart w:id="1" w:name="_Toc347155341"/>
      <w:r w:rsidR="001F4045">
        <w:t xml:space="preserve"> i en säkerhetsklassad befattning.</w:t>
      </w:r>
    </w:p>
    <w:p w14:paraId="3C069A6D" w14:textId="77777777" w:rsidR="00D01E27" w:rsidRPr="00652A3D" w:rsidRDefault="00D01E27" w:rsidP="00D01E27">
      <w:pPr>
        <w:pStyle w:val="Brdtext1"/>
      </w:pPr>
    </w:p>
    <w:p w14:paraId="580D6E66" w14:textId="71A7900C" w:rsidR="00D01E27" w:rsidRDefault="00D01E27" w:rsidP="001F4045">
      <w:pPr>
        <w:pStyle w:val="Rubrik2"/>
        <w:rPr>
          <w:bCs/>
        </w:rPr>
      </w:pPr>
      <w:r w:rsidRPr="001F4045">
        <w:t>Spontan</w:t>
      </w:r>
      <w:bookmarkEnd w:id="1"/>
      <w:r w:rsidR="00D81603" w:rsidRPr="001F4045">
        <w:t>utfall</w:t>
      </w:r>
    </w:p>
    <w:p w14:paraId="42F7FB0D" w14:textId="4979ED56" w:rsidR="00D01E27" w:rsidRDefault="00D81603" w:rsidP="00D01E27">
      <w:pPr>
        <w:pStyle w:val="Brdtext1"/>
      </w:pPr>
      <w:r>
        <w:t xml:space="preserve">Att vara placerad i säkerhetsklass innebär att </w:t>
      </w:r>
      <w:r w:rsidR="00D01E27" w:rsidRPr="00AE431E">
        <w:t>S</w:t>
      </w:r>
      <w:r w:rsidR="00D01E27" w:rsidRPr="00AE431E">
        <w:rPr>
          <w:rFonts w:hint="eastAsia"/>
        </w:rPr>
        <w:t>ä</w:t>
      </w:r>
      <w:r w:rsidR="00D01E27" w:rsidRPr="00AE431E">
        <w:t xml:space="preserve">kerhetspolisen </w:t>
      </w:r>
      <w:r>
        <w:t xml:space="preserve">fortlöpande </w:t>
      </w:r>
      <w:r w:rsidR="00D01E27">
        <w:t>följer</w:t>
      </w:r>
      <w:r w:rsidR="00D01E27" w:rsidRPr="00AE431E">
        <w:t xml:space="preserve"> upp om det har tillf</w:t>
      </w:r>
      <w:r w:rsidR="00D01E27" w:rsidRPr="00AE431E">
        <w:rPr>
          <w:rFonts w:hint="eastAsia"/>
        </w:rPr>
        <w:t>ö</w:t>
      </w:r>
      <w:r w:rsidR="00D01E27" w:rsidRPr="00AE431E">
        <w:t xml:space="preserve">rts uppgifter i polisregistren efter det att en registerkontroll har gjorts. Detta </w:t>
      </w:r>
      <w:r>
        <w:t xml:space="preserve">är en automatisk hantering och </w:t>
      </w:r>
      <w:r w:rsidR="00D01E27" w:rsidRPr="00AE431E">
        <w:t>inneb</w:t>
      </w:r>
      <w:r w:rsidR="00D01E27" w:rsidRPr="00AE431E">
        <w:rPr>
          <w:rFonts w:hint="eastAsia"/>
        </w:rPr>
        <w:t>ä</w:t>
      </w:r>
      <w:r w:rsidR="00D01E27" w:rsidRPr="00AE431E">
        <w:t>r att personer som l</w:t>
      </w:r>
      <w:r w:rsidR="00D01E27" w:rsidRPr="00AE431E">
        <w:rPr>
          <w:rFonts w:hint="eastAsia"/>
        </w:rPr>
        <w:t>ä</w:t>
      </w:r>
      <w:r w:rsidR="00D01E27" w:rsidRPr="00AE431E">
        <w:t xml:space="preserve">mnat samtycke till registerkontroll kommer att, under den tid då de innehar den aktuella anställningen, </w:t>
      </w:r>
      <w:r>
        <w:t>fortlöpande och automatiskt kontrolleras</w:t>
      </w:r>
      <w:r w:rsidR="00D01E27" w:rsidRPr="00AE431E">
        <w:t xml:space="preserve"> mot polisens register och eventuella f</w:t>
      </w:r>
      <w:r w:rsidR="00D01E27" w:rsidRPr="00AE431E">
        <w:rPr>
          <w:rFonts w:hint="eastAsia"/>
        </w:rPr>
        <w:t>ö</w:t>
      </w:r>
      <w:r w:rsidR="00D01E27" w:rsidRPr="00AE431E">
        <w:t>r</w:t>
      </w:r>
      <w:r w:rsidR="00D01E27" w:rsidRPr="00AE431E">
        <w:rPr>
          <w:rFonts w:hint="eastAsia"/>
        </w:rPr>
        <w:t>ä</w:t>
      </w:r>
      <w:r w:rsidR="00D01E27" w:rsidRPr="00AE431E">
        <w:t>ndringar i dem kommer att uppm</w:t>
      </w:r>
      <w:r w:rsidR="00D01E27" w:rsidRPr="00AE431E">
        <w:rPr>
          <w:rFonts w:hint="eastAsia"/>
        </w:rPr>
        <w:t>ä</w:t>
      </w:r>
      <w:r w:rsidR="00D01E27" w:rsidRPr="00AE431E">
        <w:t>rksammas. Registerkontrolldelegationen gör även relevansbedömning på spontanutfall innan uppgiften eventuellt lämnas ut till FMV.</w:t>
      </w:r>
    </w:p>
    <w:p w14:paraId="52AD44BD" w14:textId="77777777" w:rsidR="00D01E27" w:rsidRDefault="00D01E27" w:rsidP="00D01E27">
      <w:pPr>
        <w:pStyle w:val="Brdtext1"/>
      </w:pPr>
    </w:p>
    <w:p w14:paraId="3E66EAC7" w14:textId="77777777" w:rsidR="00D01E27" w:rsidRPr="004C0DB2" w:rsidRDefault="00D01E27" w:rsidP="001F4045">
      <w:pPr>
        <w:pStyle w:val="Rubrik2"/>
      </w:pPr>
      <w:r w:rsidRPr="004C0DB2">
        <w:t xml:space="preserve">Uppföljning av </w:t>
      </w:r>
      <w:r w:rsidRPr="001F4045">
        <w:t>säkerhetsprövning</w:t>
      </w:r>
    </w:p>
    <w:p w14:paraId="0D49B1F5" w14:textId="6D987B5F" w:rsidR="00D01E27" w:rsidRPr="00090F14" w:rsidRDefault="00D01E27" w:rsidP="00D01E27">
      <w:pPr>
        <w:pStyle w:val="Brdtext1"/>
      </w:pPr>
      <w:r>
        <w:t xml:space="preserve">Enligt säkerhetsskyddsavtalet mellan FMV och dess leverantörer </w:t>
      </w:r>
      <w:r w:rsidR="00FE2391">
        <w:t>skall</w:t>
      </w:r>
      <w:r>
        <w:t xml:space="preserve"> säkerhetsprövning följas upp årligen. </w:t>
      </w:r>
      <w:r w:rsidRPr="00AE431E">
        <w:t xml:space="preserve">Vid denna prövning </w:t>
      </w:r>
      <w:r w:rsidR="00FE2391">
        <w:t>skall</w:t>
      </w:r>
      <w:r w:rsidRPr="00AE431E">
        <w:t xml:space="preserve"> särskild vikt läggas v</w:t>
      </w:r>
      <w:r>
        <w:t>id de personliga förhållandena.</w:t>
      </w:r>
      <w:r w:rsidRPr="00AE431E">
        <w:t xml:space="preserve"> Detta innebär att diskussioner kring dina personliga förhållanden är en natur</w:t>
      </w:r>
      <w:r>
        <w:t xml:space="preserve">lig och återkommande del av ditt uppdrag hos </w:t>
      </w:r>
      <w:r w:rsidRPr="00AE431E">
        <w:t>FMV.</w:t>
      </w:r>
      <w:r>
        <w:t xml:space="preserve"> Syftet är att fånga upp eventuella förändringar i din livssituation som kan påverka din säkerhetsprövning. </w:t>
      </w:r>
    </w:p>
    <w:p w14:paraId="5F3CB96D" w14:textId="77777777" w:rsidR="00D01E27" w:rsidRPr="00DD2146" w:rsidRDefault="00D01E27" w:rsidP="00D01E27">
      <w:pPr>
        <w:pStyle w:val="Brdtext1"/>
      </w:pPr>
    </w:p>
    <w:p w14:paraId="37A277FE" w14:textId="77777777" w:rsidR="00D01E27" w:rsidRDefault="00D01E27" w:rsidP="001F4045">
      <w:pPr>
        <w:pStyle w:val="Rubrik1"/>
      </w:pPr>
      <w:r>
        <w:t xml:space="preserve">Vad </w:t>
      </w:r>
      <w:r w:rsidRPr="001F4045">
        <w:t>förväntas</w:t>
      </w:r>
      <w:r>
        <w:t xml:space="preserve"> av dig?</w:t>
      </w:r>
    </w:p>
    <w:p w14:paraId="6EE22C9A" w14:textId="1A256CEA" w:rsidR="00D01E27" w:rsidRDefault="00D01E27" w:rsidP="00D01E27">
      <w:pPr>
        <w:pStyle w:val="Brdtext1"/>
      </w:pPr>
      <w:r>
        <w:t xml:space="preserve">Du förväntas lämna alla efterfrågade uppgifter till den som genomför säkerhetsprövningen. </w:t>
      </w:r>
      <w:r w:rsidR="001F4045">
        <w:t xml:space="preserve">Till säkerhetsprövningen skall du ta med dig </w:t>
      </w:r>
      <w:r w:rsidR="001F4045" w:rsidRPr="001F4045">
        <w:t>betyg, intyg och referenser</w:t>
      </w:r>
      <w:r w:rsidR="001F4045">
        <w:t xml:space="preserve"> som kan styrka de uppgifter du lämnar. Kontakta säkerhetschefen hos din arbetsgivare för att diskutera vilka betyg, intyg och referenser du i så fall skall kunna visa upp. </w:t>
      </w:r>
      <w:r>
        <w:t xml:space="preserve">Under din anställning </w:t>
      </w:r>
      <w:r w:rsidR="00FE2391">
        <w:t>skall</w:t>
      </w:r>
      <w:r>
        <w:t xml:space="preserve"> du meddela närmaste chef om de uppgifter som hanteras i säkerhetsprövningen förändras, t.ex.:</w:t>
      </w:r>
    </w:p>
    <w:p w14:paraId="5CF591B2" w14:textId="77777777" w:rsidR="001F4045" w:rsidRDefault="001F4045" w:rsidP="00D01E27">
      <w:pPr>
        <w:pStyle w:val="Brdtext1"/>
      </w:pPr>
    </w:p>
    <w:p w14:paraId="75D60E45" w14:textId="77777777" w:rsidR="00D01E27" w:rsidRDefault="00D01E27" w:rsidP="00D01E27">
      <w:pPr>
        <w:pStyle w:val="Brdtext1"/>
        <w:numPr>
          <w:ilvl w:val="0"/>
          <w:numId w:val="5"/>
        </w:numPr>
      </w:pPr>
      <w:r>
        <w:lastRenderedPageBreak/>
        <w:t>Byte av adress</w:t>
      </w:r>
    </w:p>
    <w:p w14:paraId="2FEE76DC" w14:textId="412BA12E" w:rsidR="00D01E27" w:rsidRDefault="00D01E27" w:rsidP="00D01E27">
      <w:pPr>
        <w:pStyle w:val="Brdtext1"/>
        <w:numPr>
          <w:ilvl w:val="0"/>
          <w:numId w:val="5"/>
        </w:numPr>
      </w:pPr>
      <w:r>
        <w:t>Ändrade sambo- eller äkten</w:t>
      </w:r>
      <w:r w:rsidR="001F4045">
        <w:t>ska</w:t>
      </w:r>
      <w:r>
        <w:t>psförhållanden (gäller säkerhetsklass 1 och 2)</w:t>
      </w:r>
    </w:p>
    <w:p w14:paraId="6A52B142" w14:textId="36294B00" w:rsidR="00D01E27" w:rsidRDefault="00D01E27" w:rsidP="00D01E27">
      <w:pPr>
        <w:pStyle w:val="Brdtext1"/>
        <w:numPr>
          <w:ilvl w:val="0"/>
          <w:numId w:val="5"/>
        </w:numPr>
      </w:pPr>
      <w:r>
        <w:t>Ekonomi</w:t>
      </w:r>
      <w:r w:rsidR="001F4045">
        <w:t>ska</w:t>
      </w:r>
      <w:r>
        <w:t xml:space="preserve"> problem</w:t>
      </w:r>
    </w:p>
    <w:p w14:paraId="01671AEE" w14:textId="77777777" w:rsidR="00D01E27" w:rsidRDefault="00D01E27" w:rsidP="00D01E27">
      <w:pPr>
        <w:pStyle w:val="Brdtext1"/>
        <w:numPr>
          <w:ilvl w:val="0"/>
          <w:numId w:val="5"/>
        </w:numPr>
      </w:pPr>
      <w:r>
        <w:t>Beroendeproblematik, t.ex. alkohol, droger eller spel</w:t>
      </w:r>
    </w:p>
    <w:p w14:paraId="6B80C9CA" w14:textId="77777777" w:rsidR="00D01E27" w:rsidRDefault="00D01E27" w:rsidP="00D01E27">
      <w:pPr>
        <w:pStyle w:val="Brdtext1"/>
        <w:numPr>
          <w:ilvl w:val="0"/>
          <w:numId w:val="5"/>
        </w:numPr>
      </w:pPr>
      <w:r>
        <w:t>Kontakt med främmande underrättelsetjänster eller annan verksamhet som är säkerhetshotande</w:t>
      </w:r>
    </w:p>
    <w:p w14:paraId="718BE3FA" w14:textId="40BD9BA5" w:rsidR="00D01E27" w:rsidRDefault="00D01E27" w:rsidP="00D01E27">
      <w:pPr>
        <w:pStyle w:val="Brdtext1"/>
        <w:numPr>
          <w:ilvl w:val="0"/>
          <w:numId w:val="5"/>
        </w:numPr>
      </w:pPr>
      <w:r>
        <w:t>Övrigt som kan påverka din säkerhetsprövning, t.ex. misstanke om brott eller dylikt</w:t>
      </w:r>
    </w:p>
    <w:p w14:paraId="4508D60B" w14:textId="77777777" w:rsidR="001F4045" w:rsidRPr="00D01E27" w:rsidRDefault="001F4045" w:rsidP="001F4045">
      <w:pPr>
        <w:pStyle w:val="Brdtext1"/>
        <w:ind w:left="720"/>
      </w:pPr>
    </w:p>
    <w:p w14:paraId="283DC6BF" w14:textId="77777777" w:rsidR="00D01E27" w:rsidRPr="00D01E27" w:rsidRDefault="00D01E27" w:rsidP="001F4045">
      <w:pPr>
        <w:pStyle w:val="Rubrik1"/>
      </w:pPr>
      <w:r w:rsidRPr="00D01E27">
        <w:t xml:space="preserve">Behandling av personuppgifter </w:t>
      </w:r>
    </w:p>
    <w:p w14:paraId="0C978718" w14:textId="527328E7" w:rsidR="00D01E27" w:rsidRDefault="00D01E27" w:rsidP="00D01E27">
      <w:r w:rsidRPr="00D01E27">
        <w:t>För FMV</w:t>
      </w:r>
      <w:r w:rsidR="001F4045">
        <w:t>:</w:t>
      </w:r>
      <w:r w:rsidRPr="00D01E27">
        <w:t xml:space="preserve">s behandling av dina personuppgifter gäller dataskyddsförordningen (GDPR). Lagen syftar till att skydda privatpersoner mot att deras personliga integritet kränks när personuppgifter behandlas. </w:t>
      </w:r>
    </w:p>
    <w:p w14:paraId="26F5187C" w14:textId="77777777" w:rsidR="001F4045" w:rsidRPr="00D01E27" w:rsidRDefault="001F4045" w:rsidP="00D01E27"/>
    <w:p w14:paraId="2C2658D8" w14:textId="5972EDD5" w:rsidR="00D01E27" w:rsidRPr="004C0DB2" w:rsidRDefault="001F4045" w:rsidP="001F4045">
      <w:pPr>
        <w:pStyle w:val="Rubrik1"/>
      </w:pPr>
      <w:r>
        <w:t>Y</w:t>
      </w:r>
      <w:r w:rsidR="00D01E27">
        <w:t>tterligare</w:t>
      </w:r>
      <w:r w:rsidR="00D01E27" w:rsidRPr="004C0DB2">
        <w:t xml:space="preserve"> information</w:t>
      </w:r>
    </w:p>
    <w:p w14:paraId="562B27FD" w14:textId="56C93D48" w:rsidR="00D01E27" w:rsidRPr="00AE431E" w:rsidRDefault="00D01E27" w:rsidP="00D01E27">
      <w:pPr>
        <w:pStyle w:val="Brdtext1"/>
      </w:pPr>
      <w:r w:rsidRPr="00AE431E">
        <w:t xml:space="preserve">Är du intresserad av att läsa mer om säkerhetsprövning kan du besöka Säkerhetspolisens och Registerkontrolldelegationens </w:t>
      </w:r>
      <w:r w:rsidR="001F4045">
        <w:t>webbplatser</w:t>
      </w:r>
      <w:r w:rsidRPr="00AE431E">
        <w:t>:</w:t>
      </w:r>
    </w:p>
    <w:p w14:paraId="50AA06BA" w14:textId="77777777" w:rsidR="00D01E27" w:rsidRDefault="00D01E27" w:rsidP="00D01E27">
      <w:pPr>
        <w:pStyle w:val="Brdtext1"/>
        <w:rPr>
          <w:rFonts w:ascii="Arial" w:hAnsi="Arial" w:cs="Arial"/>
        </w:rPr>
      </w:pPr>
    </w:p>
    <w:p w14:paraId="25D0E40A" w14:textId="1344DBC1" w:rsidR="00D01E27" w:rsidRPr="001F4045" w:rsidRDefault="003235E8" w:rsidP="00D01E27">
      <w:pPr>
        <w:pStyle w:val="Brdtext1"/>
        <w:rPr>
          <w:rFonts w:cs="Arial"/>
        </w:rPr>
      </w:pPr>
      <w:hyperlink r:id="rId13" w:history="1">
        <w:r w:rsidR="00D01E27" w:rsidRPr="001F4045">
          <w:rPr>
            <w:rStyle w:val="Hyperlnk"/>
            <w:rFonts w:cs="Arial"/>
          </w:rPr>
          <w:t>Säkerhetspolisen</w:t>
        </w:r>
      </w:hyperlink>
      <w:r w:rsidR="00D01E27" w:rsidRPr="001F4045">
        <w:rPr>
          <w:rFonts w:cs="Arial"/>
        </w:rPr>
        <w:t xml:space="preserve"> </w:t>
      </w:r>
      <w:r w:rsidR="001F4045">
        <w:rPr>
          <w:rFonts w:cs="Arial"/>
        </w:rPr>
        <w:t>(http://www.sakerhetspolisen.se)</w:t>
      </w:r>
    </w:p>
    <w:p w14:paraId="12A36688" w14:textId="5AA06E32" w:rsidR="001F4045" w:rsidRPr="001F4045" w:rsidRDefault="003235E8" w:rsidP="001F4045">
      <w:pPr>
        <w:pStyle w:val="Brdtext1"/>
        <w:rPr>
          <w:rFonts w:cs="Arial"/>
          <w:bCs/>
          <w:color w:val="0000FF" w:themeColor="hyperlink"/>
        </w:rPr>
      </w:pPr>
      <w:hyperlink r:id="rId14" w:history="1">
        <w:r w:rsidR="00D01E27" w:rsidRPr="001F4045">
          <w:rPr>
            <w:rStyle w:val="Hyperlnk"/>
            <w:rFonts w:cs="Arial"/>
            <w:bCs/>
          </w:rPr>
          <w:t>Registerkontrolldelegationen</w:t>
        </w:r>
      </w:hyperlink>
      <w:r w:rsidR="001F4045">
        <w:rPr>
          <w:rStyle w:val="Hyperlnk"/>
          <w:rFonts w:cs="Arial"/>
          <w:bCs/>
          <w:u w:val="none"/>
        </w:rPr>
        <w:t xml:space="preserve"> </w:t>
      </w:r>
      <w:r w:rsidR="001F4045">
        <w:t>(http://www.sakint.se)</w:t>
      </w:r>
    </w:p>
    <w:p w14:paraId="0DBC9E94" w14:textId="77777777" w:rsidR="001F4045" w:rsidRDefault="001F4045" w:rsidP="001F4045">
      <w:pPr>
        <w:pStyle w:val="Rubrik1"/>
      </w:pPr>
    </w:p>
    <w:p w14:paraId="5B2CAF86" w14:textId="3A1D3665" w:rsidR="00D01E27" w:rsidRPr="00D01E27" w:rsidRDefault="00D01E27" w:rsidP="001F4045">
      <w:pPr>
        <w:pStyle w:val="Rubrik1"/>
      </w:pPr>
      <w:r w:rsidRPr="00D01E27">
        <w:t>Aktuell lagstiftning</w:t>
      </w:r>
    </w:p>
    <w:p w14:paraId="5C569ED0" w14:textId="77777777" w:rsidR="00D01E27" w:rsidRPr="00AE431E" w:rsidRDefault="00D01E27" w:rsidP="00D01E27">
      <w:pPr>
        <w:pStyle w:val="Brdtext1"/>
      </w:pPr>
      <w:r w:rsidRPr="00AE431E">
        <w:t>Säkerhetsskyddslag (</w:t>
      </w:r>
      <w:r>
        <w:t>2018:585</w:t>
      </w:r>
      <w:r w:rsidRPr="00AE431E">
        <w:t>)</w:t>
      </w:r>
    </w:p>
    <w:p w14:paraId="02178A6D" w14:textId="77777777" w:rsidR="00D01E27" w:rsidRPr="00AE431E" w:rsidRDefault="00D01E27" w:rsidP="00D01E27">
      <w:pPr>
        <w:pStyle w:val="Brdtext1"/>
      </w:pPr>
      <w:r w:rsidRPr="00AE431E">
        <w:t>Säkerhetsskyddsförordning (</w:t>
      </w:r>
      <w:r>
        <w:t>2018:658</w:t>
      </w:r>
      <w:r w:rsidRPr="00AE431E">
        <w:t>)</w:t>
      </w:r>
    </w:p>
    <w:p w14:paraId="5C262A8C" w14:textId="77777777" w:rsidR="00D01E27" w:rsidRPr="00AE431E" w:rsidRDefault="00D01E27" w:rsidP="00D01E27">
      <w:pPr>
        <w:pStyle w:val="Brdtext1"/>
      </w:pPr>
      <w:r w:rsidRPr="00AE431E">
        <w:t xml:space="preserve">Försvarets författningssamling (FFS </w:t>
      </w:r>
      <w:r>
        <w:t>2019:2</w:t>
      </w:r>
      <w:r w:rsidRPr="00AE431E">
        <w:t>)</w:t>
      </w:r>
    </w:p>
    <w:p w14:paraId="3F3B2A7B" w14:textId="6543A214" w:rsidR="00D01E27" w:rsidRDefault="00D01E27" w:rsidP="00D01E27">
      <w:pPr>
        <w:pStyle w:val="Brdtext1"/>
      </w:pPr>
      <w:r w:rsidRPr="00AE431E">
        <w:t>Offentlighets- och sekretesslag (2009:400)</w:t>
      </w:r>
    </w:p>
    <w:p w14:paraId="6EADBB6B" w14:textId="5F991047" w:rsidR="001F4045" w:rsidRDefault="001F4045" w:rsidP="00D01E27">
      <w:pPr>
        <w:pStyle w:val="Brdtext1"/>
      </w:pPr>
      <w:r>
        <w:t>P</w:t>
      </w:r>
      <w:r w:rsidRPr="00AE431E">
        <w:t>olisdatalagen</w:t>
      </w:r>
      <w:r>
        <w:t xml:space="preserve"> (2010:361)</w:t>
      </w:r>
    </w:p>
    <w:p w14:paraId="5BD9978F" w14:textId="77777777" w:rsidR="00D01E27" w:rsidRPr="00502464" w:rsidRDefault="00D01E27" w:rsidP="00D01E27">
      <w:pPr>
        <w:pStyle w:val="Brdtext1"/>
      </w:pPr>
      <w:r w:rsidRPr="00502464">
        <w:t xml:space="preserve">Lag (2018:218) med kompletterande bestämmelser till EU:s dataskyddsförordning </w:t>
      </w:r>
    </w:p>
    <w:p w14:paraId="3A6D57AC" w14:textId="77777777" w:rsidR="00FD28E6" w:rsidRPr="00430F8F" w:rsidRDefault="00FD28E6" w:rsidP="00430F8F"/>
    <w:sectPr w:rsidR="00FD28E6" w:rsidRPr="00430F8F" w:rsidSect="005A1821">
      <w:headerReference w:type="default" r:id="rId15"/>
      <w:headerReference w:type="first" r:id="rId16"/>
      <w:footerReference w:type="first" r:id="rId17"/>
      <w:pgSz w:w="11906" w:h="16838" w:code="9"/>
      <w:pgMar w:top="2880" w:right="1466" w:bottom="851" w:left="12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6D57AF" w14:textId="77777777" w:rsidR="00430F8F" w:rsidRDefault="00430F8F">
      <w:r>
        <w:separator/>
      </w:r>
    </w:p>
  </w:endnote>
  <w:endnote w:type="continuationSeparator" w:id="0">
    <w:p w14:paraId="3A6D57B0" w14:textId="77777777" w:rsidR="00430F8F" w:rsidRDefault="00430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96" w:type="dxa"/>
      <w:tblLayout w:type="fixed"/>
      <w:tblCellMar>
        <w:left w:w="70" w:type="dxa"/>
        <w:right w:w="70" w:type="dxa"/>
      </w:tblCellMar>
      <w:tblLook w:val="0000" w:firstRow="0" w:lastRow="0" w:firstColumn="0" w:lastColumn="0" w:noHBand="0" w:noVBand="0"/>
    </w:tblPr>
    <w:tblGrid>
      <w:gridCol w:w="2588"/>
      <w:gridCol w:w="540"/>
      <w:gridCol w:w="2340"/>
      <w:gridCol w:w="2257"/>
      <w:gridCol w:w="2371"/>
    </w:tblGrid>
    <w:tr w:rsidR="001836D5" w14:paraId="3A6D57F2" w14:textId="77777777" w:rsidTr="00A13D97">
      <w:trPr>
        <w:cantSplit/>
      </w:trPr>
      <w:tc>
        <w:tcPr>
          <w:tcW w:w="2588" w:type="dxa"/>
        </w:tcPr>
        <w:p w14:paraId="3A6D57ED" w14:textId="77777777" w:rsidR="001836D5" w:rsidRDefault="001836D5" w:rsidP="00A13D97">
          <w:pPr>
            <w:pStyle w:val="Ledtext"/>
          </w:pPr>
          <w:r>
            <w:t>FMV</w:t>
          </w:r>
        </w:p>
      </w:tc>
      <w:tc>
        <w:tcPr>
          <w:tcW w:w="540" w:type="dxa"/>
        </w:tcPr>
        <w:p w14:paraId="3A6D57EE" w14:textId="77777777" w:rsidR="001836D5" w:rsidRDefault="001836D5" w:rsidP="00A13D97">
          <w:pPr>
            <w:pStyle w:val="Ledtext"/>
          </w:pPr>
        </w:p>
      </w:tc>
      <w:tc>
        <w:tcPr>
          <w:tcW w:w="2340" w:type="dxa"/>
        </w:tcPr>
        <w:p w14:paraId="3A6D57EF" w14:textId="77777777" w:rsidR="001836D5" w:rsidRDefault="001836D5" w:rsidP="00A13D97">
          <w:pPr>
            <w:pStyle w:val="Ledtext"/>
          </w:pPr>
        </w:p>
      </w:tc>
      <w:tc>
        <w:tcPr>
          <w:tcW w:w="2257" w:type="dxa"/>
        </w:tcPr>
        <w:p w14:paraId="3A6D57F0" w14:textId="77777777" w:rsidR="001836D5" w:rsidRDefault="001836D5" w:rsidP="00A13D97">
          <w:pPr>
            <w:pStyle w:val="Ledtext"/>
          </w:pPr>
        </w:p>
      </w:tc>
      <w:tc>
        <w:tcPr>
          <w:tcW w:w="2371" w:type="dxa"/>
        </w:tcPr>
        <w:p w14:paraId="3A6D57F1" w14:textId="77777777" w:rsidR="001836D5" w:rsidRDefault="001836D5" w:rsidP="00A13D97">
          <w:pPr>
            <w:pStyle w:val="Ledtext"/>
          </w:pPr>
        </w:p>
      </w:tc>
    </w:tr>
    <w:tr w:rsidR="001836D5" w14:paraId="3A6D57F8" w14:textId="77777777" w:rsidTr="00A13D97">
      <w:trPr>
        <w:cantSplit/>
      </w:trPr>
      <w:tc>
        <w:tcPr>
          <w:tcW w:w="2588" w:type="dxa"/>
        </w:tcPr>
        <w:p w14:paraId="3A6D57F3" w14:textId="77777777" w:rsidR="001836D5" w:rsidRDefault="001836D5" w:rsidP="00A13D97">
          <w:pPr>
            <w:pStyle w:val="Ledtext"/>
          </w:pPr>
          <w:r>
            <w:t>Försvarets materielverk</w:t>
          </w:r>
        </w:p>
      </w:tc>
      <w:tc>
        <w:tcPr>
          <w:tcW w:w="540" w:type="dxa"/>
        </w:tcPr>
        <w:p w14:paraId="3A6D57F4" w14:textId="77777777" w:rsidR="001836D5" w:rsidRDefault="001836D5" w:rsidP="00A13D97">
          <w:pPr>
            <w:pStyle w:val="Ledtext"/>
            <w:rPr>
              <w:lang w:val="en-GB"/>
            </w:rPr>
          </w:pPr>
          <w:r>
            <w:rPr>
              <w:lang w:val="en-GB"/>
            </w:rPr>
            <w:t>Tel:</w:t>
          </w:r>
        </w:p>
      </w:tc>
      <w:tc>
        <w:tcPr>
          <w:tcW w:w="2340" w:type="dxa"/>
        </w:tcPr>
        <w:p w14:paraId="3A6D57F5" w14:textId="77777777" w:rsidR="001836D5" w:rsidRDefault="001836D5" w:rsidP="00A13D97">
          <w:pPr>
            <w:pStyle w:val="Ledtext"/>
            <w:rPr>
              <w:lang w:val="en-GB"/>
            </w:rPr>
          </w:pPr>
          <w:r>
            <w:rPr>
              <w:lang w:val="en-GB"/>
            </w:rPr>
            <w:t>08-782 40 00</w:t>
          </w:r>
        </w:p>
      </w:tc>
      <w:tc>
        <w:tcPr>
          <w:tcW w:w="2257" w:type="dxa"/>
        </w:tcPr>
        <w:p w14:paraId="3A6D57F6" w14:textId="77777777" w:rsidR="001836D5" w:rsidRDefault="001836D5" w:rsidP="00A13D97">
          <w:pPr>
            <w:pStyle w:val="Ledtext"/>
            <w:rPr>
              <w:lang w:val="en-GB"/>
            </w:rPr>
          </w:pPr>
          <w:r>
            <w:rPr>
              <w:lang w:val="de-DE"/>
            </w:rPr>
            <w:t>registrator@fmv.se</w:t>
          </w:r>
        </w:p>
      </w:tc>
      <w:tc>
        <w:tcPr>
          <w:tcW w:w="2371" w:type="dxa"/>
        </w:tcPr>
        <w:p w14:paraId="3A6D57F7" w14:textId="77777777" w:rsidR="001836D5" w:rsidRDefault="001836D5" w:rsidP="00A13D97">
          <w:pPr>
            <w:pStyle w:val="Ledtext"/>
            <w:rPr>
              <w:lang w:val="en-GB"/>
            </w:rPr>
          </w:pPr>
          <w:r>
            <w:rPr>
              <w:lang w:val="en-GB"/>
            </w:rPr>
            <w:t>Org.nr: 202100-0340</w:t>
          </w:r>
        </w:p>
      </w:tc>
    </w:tr>
    <w:tr w:rsidR="001836D5" w14:paraId="3A6D57FE" w14:textId="77777777" w:rsidTr="00A13D97">
      <w:trPr>
        <w:cantSplit/>
      </w:trPr>
      <w:tc>
        <w:tcPr>
          <w:tcW w:w="2588" w:type="dxa"/>
        </w:tcPr>
        <w:p w14:paraId="3A6D57F9" w14:textId="77777777" w:rsidR="001836D5" w:rsidRDefault="001836D5" w:rsidP="00A13D97">
          <w:pPr>
            <w:pStyle w:val="Ledtext"/>
            <w:rPr>
              <w:lang w:val="en-GB"/>
            </w:rPr>
          </w:pPr>
          <w:r>
            <w:rPr>
              <w:lang w:val="en-GB"/>
            </w:rPr>
            <w:t xml:space="preserve">115 88 </w:t>
          </w:r>
          <w:smartTag w:uri="urn:schemas-microsoft-com:office:smarttags" w:element="place">
            <w:smartTag w:uri="urn:schemas-microsoft-com:office:smarttags" w:element="City">
              <w:r>
                <w:rPr>
                  <w:lang w:val="en-GB"/>
                </w:rPr>
                <w:t>Stockholm</w:t>
              </w:r>
            </w:smartTag>
          </w:smartTag>
        </w:p>
      </w:tc>
      <w:tc>
        <w:tcPr>
          <w:tcW w:w="540" w:type="dxa"/>
        </w:tcPr>
        <w:p w14:paraId="3A6D57FA" w14:textId="77777777" w:rsidR="001836D5" w:rsidRDefault="001836D5" w:rsidP="00A13D97">
          <w:pPr>
            <w:pStyle w:val="Ledtext"/>
          </w:pPr>
          <w:r>
            <w:t xml:space="preserve">Fax: </w:t>
          </w:r>
        </w:p>
      </w:tc>
      <w:tc>
        <w:tcPr>
          <w:tcW w:w="2340" w:type="dxa"/>
        </w:tcPr>
        <w:p w14:paraId="3A6D57FB" w14:textId="77777777" w:rsidR="001836D5" w:rsidRDefault="001836D5" w:rsidP="00A13D97">
          <w:pPr>
            <w:pStyle w:val="Ledtext"/>
          </w:pPr>
          <w:r>
            <w:t>08-667 57 99</w:t>
          </w:r>
        </w:p>
      </w:tc>
      <w:tc>
        <w:tcPr>
          <w:tcW w:w="2257" w:type="dxa"/>
        </w:tcPr>
        <w:p w14:paraId="3A6D57FC" w14:textId="77777777" w:rsidR="001836D5" w:rsidRDefault="001836D5" w:rsidP="00A13D97">
          <w:pPr>
            <w:pStyle w:val="Ledtext"/>
          </w:pPr>
          <w:r>
            <w:t>www.fmv.se</w:t>
          </w:r>
        </w:p>
      </w:tc>
      <w:tc>
        <w:tcPr>
          <w:tcW w:w="2371" w:type="dxa"/>
        </w:tcPr>
        <w:p w14:paraId="3A6D57FD" w14:textId="77777777" w:rsidR="001836D5" w:rsidRDefault="001836D5" w:rsidP="00A13D97">
          <w:pPr>
            <w:pStyle w:val="Ledtext"/>
          </w:pPr>
          <w:r>
            <w:t>VAT nr: SE202100-0340-01</w:t>
          </w:r>
        </w:p>
      </w:tc>
    </w:tr>
    <w:tr w:rsidR="001836D5" w14:paraId="3A6D5804" w14:textId="77777777" w:rsidTr="00A13D97">
      <w:trPr>
        <w:cantSplit/>
      </w:trPr>
      <w:tc>
        <w:tcPr>
          <w:tcW w:w="2588" w:type="dxa"/>
        </w:tcPr>
        <w:p w14:paraId="3A6D57FF" w14:textId="77777777" w:rsidR="001836D5" w:rsidRDefault="001836D5" w:rsidP="00A13D97">
          <w:pPr>
            <w:pStyle w:val="Ledtext"/>
          </w:pPr>
          <w:r>
            <w:t>Besöksadress: Banérgatan 62</w:t>
          </w:r>
        </w:p>
      </w:tc>
      <w:tc>
        <w:tcPr>
          <w:tcW w:w="540" w:type="dxa"/>
        </w:tcPr>
        <w:p w14:paraId="3A6D5800" w14:textId="77777777" w:rsidR="001836D5" w:rsidRDefault="001836D5" w:rsidP="00A13D97">
          <w:pPr>
            <w:pStyle w:val="Ledtext"/>
            <w:rPr>
              <w:lang w:val="de-DE"/>
            </w:rPr>
          </w:pPr>
        </w:p>
      </w:tc>
      <w:tc>
        <w:tcPr>
          <w:tcW w:w="2340" w:type="dxa"/>
        </w:tcPr>
        <w:p w14:paraId="3A6D5801" w14:textId="77777777" w:rsidR="001836D5" w:rsidRDefault="001836D5" w:rsidP="00A13D97">
          <w:pPr>
            <w:pStyle w:val="Ledtext"/>
            <w:rPr>
              <w:lang w:val="de-DE"/>
            </w:rPr>
          </w:pPr>
        </w:p>
      </w:tc>
      <w:tc>
        <w:tcPr>
          <w:tcW w:w="2257" w:type="dxa"/>
        </w:tcPr>
        <w:p w14:paraId="3A6D5802" w14:textId="77777777" w:rsidR="001836D5" w:rsidRDefault="001836D5" w:rsidP="00A13D97">
          <w:pPr>
            <w:pStyle w:val="Ledtext"/>
            <w:rPr>
              <w:lang w:val="de-DE"/>
            </w:rPr>
          </w:pPr>
        </w:p>
      </w:tc>
      <w:tc>
        <w:tcPr>
          <w:tcW w:w="2371" w:type="dxa"/>
        </w:tcPr>
        <w:p w14:paraId="3A6D5803" w14:textId="77777777" w:rsidR="001836D5" w:rsidRDefault="001836D5" w:rsidP="00A13D97">
          <w:pPr>
            <w:pStyle w:val="Ledtext"/>
            <w:rPr>
              <w:lang w:val="de-DE"/>
            </w:rPr>
          </w:pPr>
        </w:p>
      </w:tc>
    </w:tr>
  </w:tbl>
  <w:p w14:paraId="3A6D5805" w14:textId="77777777" w:rsidR="001836D5" w:rsidRDefault="001836D5" w:rsidP="0035342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6D57AD" w14:textId="77777777" w:rsidR="00430F8F" w:rsidRDefault="00430F8F">
      <w:r>
        <w:separator/>
      </w:r>
    </w:p>
  </w:footnote>
  <w:footnote w:type="continuationSeparator" w:id="0">
    <w:p w14:paraId="3A6D57AE" w14:textId="77777777" w:rsidR="00430F8F" w:rsidRDefault="00430F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1" w:rightFromText="141" w:vertAnchor="text" w:tblpXSpec="center" w:tblpY="1"/>
      <w:tblOverlap w:val="never"/>
      <w:tblW w:w="10182" w:type="dxa"/>
      <w:tblLayout w:type="fixed"/>
      <w:tblCellMar>
        <w:top w:w="57" w:type="dxa"/>
        <w:left w:w="57" w:type="dxa"/>
        <w:right w:w="57" w:type="dxa"/>
      </w:tblCellMar>
      <w:tblLook w:val="0000" w:firstRow="0" w:lastRow="0" w:firstColumn="0" w:lastColumn="0" w:noHBand="0" w:noVBand="0"/>
    </w:tblPr>
    <w:tblGrid>
      <w:gridCol w:w="2757"/>
      <w:gridCol w:w="2520"/>
      <w:gridCol w:w="1620"/>
      <w:gridCol w:w="2160"/>
      <w:gridCol w:w="1125"/>
    </w:tblGrid>
    <w:tr w:rsidR="005A1821" w:rsidRPr="00EF324E" w14:paraId="3A6D57B6" w14:textId="77777777" w:rsidTr="00C947F3">
      <w:trPr>
        <w:cantSplit/>
      </w:trPr>
      <w:tc>
        <w:tcPr>
          <w:tcW w:w="2757" w:type="dxa"/>
          <w:vMerge w:val="restart"/>
        </w:tcPr>
        <w:sdt>
          <w:sdtPr>
            <w:alias w:val="FMVLogo"/>
            <w:tag w:val="FMVLogo"/>
            <w:id w:val="1947815925"/>
            <w:lock w:val="sdtLocked"/>
            <w:picture/>
          </w:sdtPr>
          <w:sdtEndPr/>
          <w:sdtContent>
            <w:p w14:paraId="3A6D57B2" w14:textId="77777777" w:rsidR="00D513DD" w:rsidRPr="008B1A45" w:rsidRDefault="00D513DD" w:rsidP="008527F6">
              <w:pPr>
                <w:pStyle w:val="Ledtext"/>
                <w:jc w:val="right"/>
              </w:pPr>
              <w:r>
                <w:rPr>
                  <w:noProof/>
                </w:rPr>
                <w:drawing>
                  <wp:inline distT="0" distB="0" distL="0" distR="0" wp14:anchorId="3A6D5806" wp14:editId="3A6D5807">
                    <wp:extent cx="1605600" cy="7632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05600" cy="763200"/>
                            </a:xfrm>
                            <a:prstGeom prst="rect">
                              <a:avLst/>
                            </a:prstGeom>
                            <a:noFill/>
                            <a:ln>
                              <a:noFill/>
                            </a:ln>
                          </pic:spPr>
                        </pic:pic>
                      </a:graphicData>
                    </a:graphic>
                  </wp:inline>
                </w:drawing>
              </w:r>
            </w:p>
          </w:sdtContent>
        </w:sdt>
        <w:p w14:paraId="3A6D57B3" w14:textId="77777777" w:rsidR="005A1821" w:rsidRPr="00EF324E" w:rsidRDefault="005A1821" w:rsidP="00A13D97">
          <w:pPr>
            <w:pStyle w:val="Ledtext"/>
            <w:rPr>
              <w:rFonts w:ascii="Times New Roman" w:hAnsi="Times New Roman" w:cs="Times New Roman"/>
            </w:rPr>
          </w:pPr>
        </w:p>
      </w:tc>
      <w:tc>
        <w:tcPr>
          <w:tcW w:w="2520" w:type="dxa"/>
        </w:tcPr>
        <w:p w14:paraId="3A6D57B4" w14:textId="77777777" w:rsidR="005A1821" w:rsidRPr="005A1821" w:rsidRDefault="005A1821" w:rsidP="001A2340">
          <w:pPr>
            <w:pStyle w:val="SidhuvudRubrik"/>
            <w:framePr w:hSpace="0" w:wrap="auto" w:vAnchor="margin" w:xAlign="left" w:yAlign="inline"/>
            <w:suppressOverlap w:val="0"/>
            <w:jc w:val="center"/>
          </w:pPr>
        </w:p>
      </w:tc>
      <w:tc>
        <w:tcPr>
          <w:tcW w:w="4905" w:type="dxa"/>
          <w:gridSpan w:val="3"/>
        </w:tcPr>
        <w:p w14:paraId="3A6D57B5" w14:textId="77777777" w:rsidR="005A1821" w:rsidRPr="005A1821" w:rsidRDefault="005A1821" w:rsidP="00AC7C75">
          <w:pPr>
            <w:pStyle w:val="SidhuvudRubrik"/>
            <w:framePr w:hSpace="0" w:wrap="auto" w:vAnchor="margin" w:xAlign="left" w:yAlign="inline"/>
            <w:suppressOverlap w:val="0"/>
          </w:pPr>
        </w:p>
      </w:tc>
    </w:tr>
    <w:tr w:rsidR="00942714" w:rsidRPr="008B1A45" w14:paraId="3A6D57BC" w14:textId="77777777" w:rsidTr="00C947F3">
      <w:trPr>
        <w:cantSplit/>
      </w:trPr>
      <w:tc>
        <w:tcPr>
          <w:tcW w:w="2757" w:type="dxa"/>
          <w:vMerge/>
        </w:tcPr>
        <w:p w14:paraId="3A6D57B7" w14:textId="77777777" w:rsidR="005A1821" w:rsidRPr="008B1A45" w:rsidRDefault="005A1821" w:rsidP="005A1821">
          <w:pPr>
            <w:pStyle w:val="Sidhuvud"/>
            <w:rPr>
              <w:szCs w:val="20"/>
            </w:rPr>
          </w:pPr>
        </w:p>
      </w:tc>
      <w:tc>
        <w:tcPr>
          <w:tcW w:w="2520" w:type="dxa"/>
          <w:vMerge w:val="restart"/>
        </w:tcPr>
        <w:p w14:paraId="3A6D57B8" w14:textId="77777777" w:rsidR="005A1821" w:rsidRPr="00023A41" w:rsidRDefault="005A1821" w:rsidP="005A1821">
          <w:pPr>
            <w:pStyle w:val="Sidhuvud"/>
            <w:ind w:left="1304" w:hanging="1304"/>
            <w:rPr>
              <w:rFonts w:ascii="Arial" w:hAnsi="Arial" w:cs="Arial"/>
              <w:b/>
              <w:szCs w:val="20"/>
            </w:rPr>
          </w:pPr>
        </w:p>
      </w:tc>
      <w:tc>
        <w:tcPr>
          <w:tcW w:w="1620" w:type="dxa"/>
        </w:tcPr>
        <w:p w14:paraId="3A6D57B9" w14:textId="77777777" w:rsidR="005A1821" w:rsidRPr="00023A41" w:rsidRDefault="005A1821" w:rsidP="005A1821">
          <w:pPr>
            <w:pStyle w:val="Ledtext"/>
            <w:rPr>
              <w:szCs w:val="15"/>
            </w:rPr>
          </w:pPr>
          <w:r w:rsidRPr="00023A41">
            <w:rPr>
              <w:szCs w:val="15"/>
            </w:rPr>
            <w:t>Datum</w:t>
          </w:r>
        </w:p>
      </w:tc>
      <w:tc>
        <w:tcPr>
          <w:tcW w:w="2160" w:type="dxa"/>
        </w:tcPr>
        <w:p w14:paraId="3A6D57BA" w14:textId="77777777" w:rsidR="005A1821" w:rsidRPr="00023A41" w:rsidRDefault="005A1821" w:rsidP="005A1821">
          <w:pPr>
            <w:pStyle w:val="Ledtext"/>
            <w:rPr>
              <w:szCs w:val="15"/>
            </w:rPr>
          </w:pPr>
        </w:p>
      </w:tc>
      <w:tc>
        <w:tcPr>
          <w:tcW w:w="1125" w:type="dxa"/>
        </w:tcPr>
        <w:p w14:paraId="3A6D57BB" w14:textId="77777777" w:rsidR="005A1821" w:rsidRPr="00023A41" w:rsidRDefault="005A1821" w:rsidP="005A1821">
          <w:pPr>
            <w:pStyle w:val="Ledtext"/>
            <w:rPr>
              <w:szCs w:val="15"/>
            </w:rPr>
          </w:pPr>
        </w:p>
      </w:tc>
    </w:tr>
    <w:tr w:rsidR="00942714" w:rsidRPr="00EF324E" w14:paraId="3A6D57C2" w14:textId="77777777" w:rsidTr="00C947F3">
      <w:trPr>
        <w:cantSplit/>
      </w:trPr>
      <w:tc>
        <w:tcPr>
          <w:tcW w:w="2757" w:type="dxa"/>
          <w:vMerge/>
        </w:tcPr>
        <w:p w14:paraId="3A6D57BD" w14:textId="77777777" w:rsidR="005A1821" w:rsidRPr="00EF324E" w:rsidRDefault="005A1821" w:rsidP="005A1821">
          <w:pPr>
            <w:pStyle w:val="Ledtext"/>
            <w:rPr>
              <w:rFonts w:ascii="Times New Roman" w:hAnsi="Times New Roman" w:cs="Times New Roman"/>
            </w:rPr>
          </w:pPr>
        </w:p>
      </w:tc>
      <w:tc>
        <w:tcPr>
          <w:tcW w:w="2520" w:type="dxa"/>
          <w:vMerge/>
        </w:tcPr>
        <w:p w14:paraId="3A6D57BE" w14:textId="77777777" w:rsidR="005A1821" w:rsidRPr="00023A41" w:rsidRDefault="005A1821" w:rsidP="005A1821">
          <w:pPr>
            <w:pStyle w:val="Ledtext"/>
          </w:pPr>
        </w:p>
      </w:tc>
      <w:sdt>
        <w:sdtPr>
          <w:rPr>
            <w:rStyle w:val="TextrutaChar"/>
          </w:rPr>
          <w:alias w:val="Datum"/>
          <w:tag w:val="DocumentDate"/>
          <w:id w:val="-203794189"/>
          <w:lock w:val="sdtLocked"/>
          <w:dataBinding w:prefixMappings="xmlns:ns0='http://www.dunite.se/2011/04/FMVDocument'" w:xpath="/ns0:FMVDocument[1]/ns0:Document[1]/ns0:Date[1]" w:storeItemID="{066B67A3-4EFD-47A0-8A0C-7AC8510E96E3}"/>
          <w:date w:fullDate="2019-03-29T00:00:00Z">
            <w:dateFormat w:val="yyyy-MM-dd"/>
            <w:lid w:val="sv-SE"/>
            <w:storeMappedDataAs w:val="dateTime"/>
            <w:calendar w:val="gregorian"/>
          </w:date>
        </w:sdtPr>
        <w:sdtEndPr>
          <w:rPr>
            <w:rStyle w:val="Standardstycketeckensnitt"/>
          </w:rPr>
        </w:sdtEndPr>
        <w:sdtContent>
          <w:tc>
            <w:tcPr>
              <w:tcW w:w="1620" w:type="dxa"/>
            </w:tcPr>
            <w:p w14:paraId="3A6D57BF" w14:textId="3FE936EB" w:rsidR="005A1821" w:rsidRPr="00023A41" w:rsidRDefault="00B47464" w:rsidP="007610C5">
              <w:pPr>
                <w:pStyle w:val="Textruta"/>
              </w:pPr>
              <w:r>
                <w:rPr>
                  <w:rStyle w:val="TextrutaChar"/>
                </w:rPr>
                <w:t>2019-03-29</w:t>
              </w:r>
            </w:p>
          </w:tc>
        </w:sdtContent>
      </w:sdt>
      <w:tc>
        <w:tcPr>
          <w:tcW w:w="2160" w:type="dxa"/>
        </w:tcPr>
        <w:p w14:paraId="3A6D57C0" w14:textId="77777777" w:rsidR="005A1821" w:rsidRPr="00023A41" w:rsidRDefault="005A1821" w:rsidP="00023A41">
          <w:pPr>
            <w:pStyle w:val="Sidhuvud"/>
            <w:rPr>
              <w:szCs w:val="20"/>
            </w:rPr>
          </w:pPr>
          <w:bookmarkStart w:id="2" w:name="identifier"/>
          <w:bookmarkEnd w:id="2"/>
        </w:p>
      </w:tc>
      <w:tc>
        <w:tcPr>
          <w:tcW w:w="1125" w:type="dxa"/>
        </w:tcPr>
        <w:p w14:paraId="3A6D57C1" w14:textId="77777777" w:rsidR="005A1821" w:rsidRPr="00023A41" w:rsidRDefault="005A1821" w:rsidP="00023A41">
          <w:pPr>
            <w:pStyle w:val="Sidhuvud"/>
            <w:rPr>
              <w:szCs w:val="20"/>
            </w:rPr>
          </w:pPr>
          <w:bookmarkStart w:id="3" w:name="punktnotering"/>
          <w:bookmarkEnd w:id="3"/>
        </w:p>
      </w:tc>
    </w:tr>
    <w:tr w:rsidR="00942714" w:rsidRPr="00EF324E" w14:paraId="3A6D57C8" w14:textId="77777777" w:rsidTr="00C947F3">
      <w:trPr>
        <w:cantSplit/>
      </w:trPr>
      <w:tc>
        <w:tcPr>
          <w:tcW w:w="2757" w:type="dxa"/>
          <w:vMerge/>
        </w:tcPr>
        <w:p w14:paraId="3A6D57C3" w14:textId="77777777" w:rsidR="005A1821" w:rsidRPr="00EF324E" w:rsidRDefault="005A1821" w:rsidP="005A1821">
          <w:pPr>
            <w:pStyle w:val="Sidhuvud"/>
          </w:pPr>
        </w:p>
      </w:tc>
      <w:tc>
        <w:tcPr>
          <w:tcW w:w="2520" w:type="dxa"/>
          <w:vMerge/>
        </w:tcPr>
        <w:p w14:paraId="3A6D57C4" w14:textId="77777777" w:rsidR="005A1821" w:rsidRPr="00023A41" w:rsidRDefault="005A1821" w:rsidP="005A1821">
          <w:pPr>
            <w:pStyle w:val="Sidhuvud"/>
            <w:rPr>
              <w:rFonts w:ascii="Arial" w:hAnsi="Arial" w:cs="Arial"/>
            </w:rPr>
          </w:pPr>
        </w:p>
      </w:tc>
      <w:tc>
        <w:tcPr>
          <w:tcW w:w="1620" w:type="dxa"/>
        </w:tcPr>
        <w:p w14:paraId="3A6D57C5" w14:textId="429A16BE" w:rsidR="005A1821" w:rsidRPr="00023A41" w:rsidRDefault="00870C73" w:rsidP="005A1821">
          <w:pPr>
            <w:pStyle w:val="Sidhuvud"/>
            <w:rPr>
              <w:rFonts w:ascii="Arial" w:hAnsi="Arial" w:cs="Arial"/>
              <w:sz w:val="15"/>
              <w:szCs w:val="15"/>
            </w:rPr>
          </w:pPr>
          <w:r>
            <w:rPr>
              <w:rFonts w:ascii="Arial" w:hAnsi="Arial" w:cs="Arial"/>
              <w:sz w:val="15"/>
              <w:szCs w:val="15"/>
            </w:rPr>
            <w:t>Rev 200217</w:t>
          </w:r>
        </w:p>
      </w:tc>
      <w:tc>
        <w:tcPr>
          <w:tcW w:w="2160" w:type="dxa"/>
        </w:tcPr>
        <w:p w14:paraId="3A6D57C6" w14:textId="77777777" w:rsidR="005A1821" w:rsidRPr="00023A41" w:rsidRDefault="005A1821" w:rsidP="005A1821">
          <w:pPr>
            <w:pStyle w:val="Sidhuvud"/>
            <w:rPr>
              <w:rFonts w:ascii="Arial" w:hAnsi="Arial" w:cs="Arial"/>
              <w:sz w:val="15"/>
              <w:szCs w:val="15"/>
            </w:rPr>
          </w:pPr>
        </w:p>
      </w:tc>
      <w:tc>
        <w:tcPr>
          <w:tcW w:w="1125" w:type="dxa"/>
        </w:tcPr>
        <w:p w14:paraId="3A6D57C7" w14:textId="77777777" w:rsidR="005A1821" w:rsidRPr="00023A41" w:rsidRDefault="005A1821" w:rsidP="005A1821">
          <w:pPr>
            <w:pStyle w:val="Ledtext"/>
            <w:rPr>
              <w:szCs w:val="15"/>
            </w:rPr>
          </w:pPr>
          <w:r w:rsidRPr="00023A41">
            <w:rPr>
              <w:szCs w:val="15"/>
            </w:rPr>
            <w:t>Sida</w:t>
          </w:r>
        </w:p>
      </w:tc>
    </w:tr>
    <w:tr w:rsidR="00942714" w:rsidRPr="00EF324E" w14:paraId="3A6D57CE" w14:textId="77777777" w:rsidTr="00C947F3">
      <w:trPr>
        <w:cantSplit/>
      </w:trPr>
      <w:tc>
        <w:tcPr>
          <w:tcW w:w="2757" w:type="dxa"/>
          <w:vMerge/>
        </w:tcPr>
        <w:p w14:paraId="3A6D57C9" w14:textId="77777777" w:rsidR="005A1821" w:rsidRPr="00EF324E" w:rsidRDefault="005A1821" w:rsidP="005A1821">
          <w:pPr>
            <w:pStyle w:val="Sidhuvud"/>
          </w:pPr>
        </w:p>
      </w:tc>
      <w:tc>
        <w:tcPr>
          <w:tcW w:w="2520" w:type="dxa"/>
          <w:vMerge/>
        </w:tcPr>
        <w:p w14:paraId="3A6D57CA" w14:textId="77777777" w:rsidR="005A1821" w:rsidRPr="00023A41" w:rsidRDefault="005A1821" w:rsidP="005A1821">
          <w:pPr>
            <w:pStyle w:val="Sidhuvud"/>
            <w:rPr>
              <w:rFonts w:ascii="Arial" w:hAnsi="Arial" w:cs="Arial"/>
            </w:rPr>
          </w:pPr>
        </w:p>
      </w:tc>
      <w:tc>
        <w:tcPr>
          <w:tcW w:w="1620" w:type="dxa"/>
        </w:tcPr>
        <w:p w14:paraId="3A6D57CB" w14:textId="77777777" w:rsidR="005A1821" w:rsidRPr="00023A41" w:rsidRDefault="005A1821" w:rsidP="002A0C68">
          <w:pPr>
            <w:pStyle w:val="Sidhuvud"/>
            <w:rPr>
              <w:szCs w:val="20"/>
              <w:lang w:val="en-US"/>
            </w:rPr>
          </w:pPr>
          <w:bookmarkStart w:id="4" w:name="orgUnitName"/>
          <w:bookmarkEnd w:id="4"/>
        </w:p>
      </w:tc>
      <w:tc>
        <w:tcPr>
          <w:tcW w:w="2160" w:type="dxa"/>
        </w:tcPr>
        <w:p w14:paraId="3A6D57CC" w14:textId="77777777" w:rsidR="005A1821" w:rsidRPr="00023A41" w:rsidRDefault="005A1821" w:rsidP="00023A41">
          <w:pPr>
            <w:pStyle w:val="Sidhuvud"/>
            <w:rPr>
              <w:szCs w:val="20"/>
              <w:lang w:val="en-US"/>
            </w:rPr>
          </w:pPr>
          <w:bookmarkStart w:id="5" w:name="ObjectID"/>
          <w:bookmarkEnd w:id="5"/>
        </w:p>
      </w:tc>
      <w:tc>
        <w:tcPr>
          <w:tcW w:w="1125" w:type="dxa"/>
        </w:tcPr>
        <w:p w14:paraId="3A6D57CD" w14:textId="67F8F4B7" w:rsidR="005A1821" w:rsidRPr="00023A41" w:rsidRDefault="005A1821" w:rsidP="005A1821">
          <w:pPr>
            <w:pStyle w:val="Sidhuvud"/>
            <w:rPr>
              <w:szCs w:val="20"/>
            </w:rPr>
          </w:pPr>
          <w:r w:rsidRPr="00023A41">
            <w:rPr>
              <w:rStyle w:val="Sidnummer"/>
              <w:szCs w:val="20"/>
            </w:rPr>
            <w:fldChar w:fldCharType="begin"/>
          </w:r>
          <w:r w:rsidRPr="00023A41">
            <w:rPr>
              <w:rStyle w:val="Sidnummer"/>
              <w:szCs w:val="20"/>
            </w:rPr>
            <w:instrText xml:space="preserve"> PAGE </w:instrText>
          </w:r>
          <w:r w:rsidRPr="00023A41">
            <w:rPr>
              <w:rStyle w:val="Sidnummer"/>
              <w:szCs w:val="20"/>
            </w:rPr>
            <w:fldChar w:fldCharType="separate"/>
          </w:r>
          <w:r w:rsidR="003235E8">
            <w:rPr>
              <w:rStyle w:val="Sidnummer"/>
              <w:noProof/>
              <w:szCs w:val="20"/>
            </w:rPr>
            <w:t>1</w:t>
          </w:r>
          <w:r w:rsidRPr="00023A41">
            <w:rPr>
              <w:rStyle w:val="Sidnummer"/>
              <w:szCs w:val="20"/>
            </w:rPr>
            <w:fldChar w:fldCharType="end"/>
          </w:r>
          <w:r w:rsidRPr="00781027">
            <w:rPr>
              <w:rStyle w:val="Sidnummer"/>
            </w:rPr>
            <w:t>(</w:t>
          </w:r>
          <w:r w:rsidRPr="00781027">
            <w:rPr>
              <w:rStyle w:val="Sidnummer"/>
            </w:rPr>
            <w:fldChar w:fldCharType="begin"/>
          </w:r>
          <w:r w:rsidRPr="00781027">
            <w:rPr>
              <w:rStyle w:val="Sidnummer"/>
            </w:rPr>
            <w:instrText xml:space="preserve"> NUMPAGES </w:instrText>
          </w:r>
          <w:r w:rsidRPr="00781027">
            <w:rPr>
              <w:rStyle w:val="Sidnummer"/>
            </w:rPr>
            <w:fldChar w:fldCharType="separate"/>
          </w:r>
          <w:r w:rsidR="003235E8">
            <w:rPr>
              <w:rStyle w:val="Sidnummer"/>
              <w:noProof/>
            </w:rPr>
            <w:t>4</w:t>
          </w:r>
          <w:r w:rsidRPr="00781027">
            <w:rPr>
              <w:rStyle w:val="Sidnummer"/>
            </w:rPr>
            <w:fldChar w:fldCharType="end"/>
          </w:r>
          <w:r w:rsidRPr="00781027">
            <w:rPr>
              <w:rStyle w:val="Sidnummer"/>
            </w:rPr>
            <w:t>)</w:t>
          </w:r>
        </w:p>
      </w:tc>
    </w:tr>
  </w:tbl>
  <w:p w14:paraId="3A6D57CF" w14:textId="77777777" w:rsidR="001836D5" w:rsidRDefault="001836D5">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1" w:rightFromText="141" w:vertAnchor="text" w:tblpXSpec="center" w:tblpY="1"/>
      <w:tblOverlap w:val="never"/>
      <w:tblW w:w="10308" w:type="dxa"/>
      <w:tblLayout w:type="fixed"/>
      <w:tblCellMar>
        <w:top w:w="57" w:type="dxa"/>
        <w:left w:w="57" w:type="dxa"/>
        <w:right w:w="57" w:type="dxa"/>
      </w:tblCellMar>
      <w:tblLook w:val="0000" w:firstRow="0" w:lastRow="0" w:firstColumn="0" w:lastColumn="0" w:noHBand="0" w:noVBand="0"/>
    </w:tblPr>
    <w:tblGrid>
      <w:gridCol w:w="2745"/>
      <w:gridCol w:w="3488"/>
      <w:gridCol w:w="1384"/>
      <w:gridCol w:w="1776"/>
      <w:gridCol w:w="915"/>
    </w:tblGrid>
    <w:tr w:rsidR="0035043F" w:rsidRPr="007E633E" w14:paraId="3A6D57D3" w14:textId="77777777" w:rsidTr="008A795D">
      <w:trPr>
        <w:gridAfter w:val="4"/>
        <w:wAfter w:w="7563" w:type="dxa"/>
        <w:cantSplit/>
        <w:trHeight w:val="315"/>
      </w:trPr>
      <w:tc>
        <w:tcPr>
          <w:tcW w:w="2745" w:type="dxa"/>
          <w:vMerge w:val="restart"/>
        </w:tcPr>
        <w:p w14:paraId="3A6D57D2" w14:textId="77777777" w:rsidR="0035043F" w:rsidRPr="007E633E" w:rsidRDefault="0035043F" w:rsidP="00A13D97">
          <w:pPr>
            <w:pStyle w:val="Ledtext"/>
            <w:ind w:left="-180"/>
            <w:rPr>
              <w:b/>
              <w:sz w:val="16"/>
              <w:szCs w:val="16"/>
            </w:rPr>
          </w:pPr>
        </w:p>
      </w:tc>
    </w:tr>
    <w:tr w:rsidR="001836D5" w:rsidRPr="007E633E" w14:paraId="3A6D57D9" w14:textId="77777777" w:rsidTr="00397C5F">
      <w:trPr>
        <w:cantSplit/>
      </w:trPr>
      <w:tc>
        <w:tcPr>
          <w:tcW w:w="2745" w:type="dxa"/>
          <w:vMerge/>
        </w:tcPr>
        <w:p w14:paraId="3A6D57D4" w14:textId="77777777" w:rsidR="001836D5" w:rsidRPr="007E633E" w:rsidRDefault="001836D5" w:rsidP="00CD13B3">
          <w:pPr>
            <w:pStyle w:val="Ledtext"/>
          </w:pPr>
        </w:p>
      </w:tc>
      <w:tc>
        <w:tcPr>
          <w:tcW w:w="3488" w:type="dxa"/>
        </w:tcPr>
        <w:p w14:paraId="3A6D57D5" w14:textId="77777777" w:rsidR="001836D5" w:rsidRPr="00B8126D" w:rsidRDefault="001836D5" w:rsidP="00CD13B3">
          <w:pPr>
            <w:pStyle w:val="Ledtext"/>
            <w:jc w:val="center"/>
            <w:rPr>
              <w:b/>
            </w:rPr>
          </w:pPr>
        </w:p>
      </w:tc>
      <w:tc>
        <w:tcPr>
          <w:tcW w:w="1384" w:type="dxa"/>
        </w:tcPr>
        <w:p w14:paraId="3A6D57D6" w14:textId="77777777" w:rsidR="001836D5" w:rsidRPr="007E633E" w:rsidRDefault="001836D5" w:rsidP="00CD13B3">
          <w:pPr>
            <w:pStyle w:val="Ledtext"/>
          </w:pPr>
        </w:p>
      </w:tc>
      <w:tc>
        <w:tcPr>
          <w:tcW w:w="1776" w:type="dxa"/>
        </w:tcPr>
        <w:p w14:paraId="3A6D57D7" w14:textId="77777777" w:rsidR="001836D5" w:rsidRPr="007E633E" w:rsidRDefault="001836D5" w:rsidP="00CD13B3">
          <w:pPr>
            <w:pStyle w:val="Ledtext"/>
          </w:pPr>
        </w:p>
      </w:tc>
      <w:tc>
        <w:tcPr>
          <w:tcW w:w="915" w:type="dxa"/>
        </w:tcPr>
        <w:p w14:paraId="3A6D57D8" w14:textId="77777777" w:rsidR="001836D5" w:rsidRPr="007E633E" w:rsidRDefault="001836D5" w:rsidP="00CD13B3">
          <w:pPr>
            <w:pStyle w:val="Ledtext"/>
          </w:pPr>
        </w:p>
      </w:tc>
    </w:tr>
    <w:tr w:rsidR="001836D5" w:rsidRPr="007E633E" w14:paraId="3A6D57DF" w14:textId="77777777" w:rsidTr="00397C5F">
      <w:trPr>
        <w:cantSplit/>
      </w:trPr>
      <w:tc>
        <w:tcPr>
          <w:tcW w:w="2745" w:type="dxa"/>
          <w:vMerge/>
        </w:tcPr>
        <w:p w14:paraId="3A6D57DA" w14:textId="77777777" w:rsidR="001836D5" w:rsidRPr="007E633E" w:rsidRDefault="001836D5" w:rsidP="00CD13B3">
          <w:pPr>
            <w:pStyle w:val="Sidhuvud"/>
            <w:rPr>
              <w:rFonts w:ascii="Arial" w:hAnsi="Arial" w:cs="Arial"/>
            </w:rPr>
          </w:pPr>
        </w:p>
      </w:tc>
      <w:tc>
        <w:tcPr>
          <w:tcW w:w="3488" w:type="dxa"/>
          <w:vMerge w:val="restart"/>
        </w:tcPr>
        <w:p w14:paraId="3A6D57DB" w14:textId="77777777" w:rsidR="001836D5" w:rsidRPr="007E633E" w:rsidRDefault="001836D5" w:rsidP="00CD13B3">
          <w:pPr>
            <w:pStyle w:val="Sidhuvud"/>
            <w:ind w:left="1304" w:hanging="1304"/>
            <w:rPr>
              <w:rFonts w:ascii="Arial" w:hAnsi="Arial" w:cs="Arial"/>
              <w:b/>
            </w:rPr>
          </w:pPr>
        </w:p>
      </w:tc>
      <w:tc>
        <w:tcPr>
          <w:tcW w:w="1384" w:type="dxa"/>
        </w:tcPr>
        <w:p w14:paraId="3A6D57DC" w14:textId="77777777" w:rsidR="001836D5" w:rsidRPr="007E633E" w:rsidRDefault="001836D5" w:rsidP="00CD13B3">
          <w:pPr>
            <w:pStyle w:val="Sidhuvud"/>
            <w:rPr>
              <w:rFonts w:ascii="Arial" w:hAnsi="Arial" w:cs="Arial"/>
              <w:szCs w:val="20"/>
            </w:rPr>
          </w:pPr>
        </w:p>
      </w:tc>
      <w:tc>
        <w:tcPr>
          <w:tcW w:w="1776" w:type="dxa"/>
        </w:tcPr>
        <w:p w14:paraId="3A6D57DD" w14:textId="77777777" w:rsidR="001836D5" w:rsidRPr="007E633E" w:rsidRDefault="001836D5" w:rsidP="00CD13B3">
          <w:pPr>
            <w:pStyle w:val="Sidhuvud"/>
            <w:rPr>
              <w:rFonts w:ascii="Arial" w:hAnsi="Arial" w:cs="Arial"/>
              <w:szCs w:val="20"/>
            </w:rPr>
          </w:pPr>
        </w:p>
      </w:tc>
      <w:tc>
        <w:tcPr>
          <w:tcW w:w="915" w:type="dxa"/>
        </w:tcPr>
        <w:p w14:paraId="3A6D57DE" w14:textId="77777777" w:rsidR="001836D5" w:rsidRPr="007E633E" w:rsidRDefault="001836D5" w:rsidP="00CD13B3">
          <w:pPr>
            <w:pStyle w:val="Sidhuvud"/>
            <w:rPr>
              <w:rFonts w:ascii="Arial" w:hAnsi="Arial" w:cs="Arial"/>
              <w:szCs w:val="20"/>
            </w:rPr>
          </w:pPr>
        </w:p>
      </w:tc>
    </w:tr>
    <w:tr w:rsidR="001836D5" w:rsidRPr="007E633E" w14:paraId="3A6D57E5" w14:textId="77777777" w:rsidTr="00397C5F">
      <w:trPr>
        <w:cantSplit/>
      </w:trPr>
      <w:tc>
        <w:tcPr>
          <w:tcW w:w="2745" w:type="dxa"/>
          <w:vMerge/>
        </w:tcPr>
        <w:p w14:paraId="3A6D57E0" w14:textId="77777777" w:rsidR="001836D5" w:rsidRPr="007E633E" w:rsidRDefault="001836D5" w:rsidP="00CD13B3">
          <w:pPr>
            <w:pStyle w:val="Ledtext"/>
          </w:pPr>
        </w:p>
      </w:tc>
      <w:tc>
        <w:tcPr>
          <w:tcW w:w="3488" w:type="dxa"/>
          <w:vMerge/>
        </w:tcPr>
        <w:p w14:paraId="3A6D57E1" w14:textId="77777777" w:rsidR="001836D5" w:rsidRPr="007E633E" w:rsidRDefault="001836D5" w:rsidP="00CD13B3">
          <w:pPr>
            <w:pStyle w:val="Ledtext"/>
          </w:pPr>
        </w:p>
      </w:tc>
      <w:tc>
        <w:tcPr>
          <w:tcW w:w="1384" w:type="dxa"/>
        </w:tcPr>
        <w:p w14:paraId="3A6D57E2" w14:textId="77777777" w:rsidR="001836D5" w:rsidRPr="007E633E" w:rsidRDefault="001836D5" w:rsidP="00CD13B3">
          <w:pPr>
            <w:pStyle w:val="Ledtext"/>
          </w:pPr>
        </w:p>
      </w:tc>
      <w:tc>
        <w:tcPr>
          <w:tcW w:w="1776" w:type="dxa"/>
        </w:tcPr>
        <w:p w14:paraId="3A6D57E3" w14:textId="77777777" w:rsidR="001836D5" w:rsidRPr="007E633E" w:rsidRDefault="001836D5" w:rsidP="00CD13B3">
          <w:pPr>
            <w:pStyle w:val="Ledtext"/>
          </w:pPr>
        </w:p>
      </w:tc>
      <w:tc>
        <w:tcPr>
          <w:tcW w:w="915" w:type="dxa"/>
        </w:tcPr>
        <w:p w14:paraId="3A6D57E4" w14:textId="77777777" w:rsidR="001836D5" w:rsidRPr="007E633E" w:rsidRDefault="001836D5" w:rsidP="00CD13B3">
          <w:pPr>
            <w:pStyle w:val="Ledtext"/>
          </w:pPr>
        </w:p>
      </w:tc>
    </w:tr>
    <w:tr w:rsidR="001836D5" w:rsidRPr="007E633E" w14:paraId="3A6D57EB" w14:textId="77777777" w:rsidTr="00397C5F">
      <w:trPr>
        <w:cantSplit/>
      </w:trPr>
      <w:tc>
        <w:tcPr>
          <w:tcW w:w="2745" w:type="dxa"/>
          <w:vMerge/>
        </w:tcPr>
        <w:p w14:paraId="3A6D57E6" w14:textId="77777777" w:rsidR="001836D5" w:rsidRPr="007E633E" w:rsidRDefault="001836D5" w:rsidP="00CD13B3">
          <w:pPr>
            <w:pStyle w:val="Sidhuvud"/>
            <w:rPr>
              <w:rFonts w:ascii="Arial" w:hAnsi="Arial" w:cs="Arial"/>
            </w:rPr>
          </w:pPr>
        </w:p>
      </w:tc>
      <w:tc>
        <w:tcPr>
          <w:tcW w:w="3488" w:type="dxa"/>
          <w:vMerge/>
        </w:tcPr>
        <w:p w14:paraId="3A6D57E7" w14:textId="77777777" w:rsidR="001836D5" w:rsidRPr="007E633E" w:rsidRDefault="001836D5" w:rsidP="00CD13B3">
          <w:pPr>
            <w:pStyle w:val="Sidhuvud"/>
            <w:rPr>
              <w:rFonts w:ascii="Arial" w:hAnsi="Arial" w:cs="Arial"/>
            </w:rPr>
          </w:pPr>
        </w:p>
      </w:tc>
      <w:tc>
        <w:tcPr>
          <w:tcW w:w="1384" w:type="dxa"/>
        </w:tcPr>
        <w:p w14:paraId="3A6D57E8" w14:textId="77777777" w:rsidR="001836D5" w:rsidRPr="007E633E" w:rsidRDefault="001836D5" w:rsidP="00CD13B3">
          <w:pPr>
            <w:pStyle w:val="Sidhuvud"/>
            <w:rPr>
              <w:rFonts w:ascii="Arial" w:hAnsi="Arial" w:cs="Arial"/>
              <w:szCs w:val="20"/>
            </w:rPr>
          </w:pPr>
        </w:p>
      </w:tc>
      <w:tc>
        <w:tcPr>
          <w:tcW w:w="1776" w:type="dxa"/>
        </w:tcPr>
        <w:p w14:paraId="3A6D57E9" w14:textId="77777777" w:rsidR="001836D5" w:rsidRPr="007E633E" w:rsidRDefault="001836D5" w:rsidP="00CD13B3">
          <w:pPr>
            <w:pStyle w:val="Sidhuvud"/>
            <w:rPr>
              <w:rFonts w:ascii="Arial" w:hAnsi="Arial" w:cs="Arial"/>
              <w:szCs w:val="20"/>
            </w:rPr>
          </w:pPr>
        </w:p>
      </w:tc>
      <w:tc>
        <w:tcPr>
          <w:tcW w:w="915" w:type="dxa"/>
        </w:tcPr>
        <w:p w14:paraId="3A6D57EA" w14:textId="77777777" w:rsidR="001836D5" w:rsidRPr="007E633E" w:rsidRDefault="001836D5" w:rsidP="00CD13B3">
          <w:pPr>
            <w:pStyle w:val="Sidhuvud"/>
            <w:rPr>
              <w:rFonts w:ascii="Arial" w:hAnsi="Arial" w:cs="Arial"/>
              <w:szCs w:val="20"/>
            </w:rPr>
          </w:pPr>
        </w:p>
      </w:tc>
    </w:tr>
  </w:tbl>
  <w:p w14:paraId="3A6D57EC" w14:textId="77777777" w:rsidR="001836D5" w:rsidRDefault="001836D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A5CAB"/>
    <w:multiLevelType w:val="hybridMultilevel"/>
    <w:tmpl w:val="2AA4508E"/>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0ECA0ADE"/>
    <w:multiLevelType w:val="hybridMultilevel"/>
    <w:tmpl w:val="EAF8DC22"/>
    <w:lvl w:ilvl="0" w:tplc="0B8EB056">
      <w:start w:val="1"/>
      <w:numFmt w:val="decimal"/>
      <w:lvlText w:val="%1."/>
      <w:lvlJc w:val="left"/>
      <w:pPr>
        <w:ind w:left="1440" w:hanging="360"/>
      </w:pPr>
      <w:rPr>
        <w:rFonts w:hint="default"/>
      </w:rPr>
    </w:lvl>
    <w:lvl w:ilvl="1" w:tplc="041D0019" w:tentative="1">
      <w:start w:val="1"/>
      <w:numFmt w:val="lowerLetter"/>
      <w:lvlText w:val="%2."/>
      <w:lvlJc w:val="left"/>
      <w:pPr>
        <w:ind w:left="2160" w:hanging="360"/>
      </w:pPr>
    </w:lvl>
    <w:lvl w:ilvl="2" w:tplc="041D001B" w:tentative="1">
      <w:start w:val="1"/>
      <w:numFmt w:val="lowerRoman"/>
      <w:lvlText w:val="%3."/>
      <w:lvlJc w:val="right"/>
      <w:pPr>
        <w:ind w:left="2880" w:hanging="180"/>
      </w:pPr>
    </w:lvl>
    <w:lvl w:ilvl="3" w:tplc="041D000F" w:tentative="1">
      <w:start w:val="1"/>
      <w:numFmt w:val="decimal"/>
      <w:lvlText w:val="%4."/>
      <w:lvlJc w:val="left"/>
      <w:pPr>
        <w:ind w:left="3600" w:hanging="360"/>
      </w:pPr>
    </w:lvl>
    <w:lvl w:ilvl="4" w:tplc="041D0019" w:tentative="1">
      <w:start w:val="1"/>
      <w:numFmt w:val="lowerLetter"/>
      <w:lvlText w:val="%5."/>
      <w:lvlJc w:val="left"/>
      <w:pPr>
        <w:ind w:left="4320" w:hanging="360"/>
      </w:pPr>
    </w:lvl>
    <w:lvl w:ilvl="5" w:tplc="041D001B" w:tentative="1">
      <w:start w:val="1"/>
      <w:numFmt w:val="lowerRoman"/>
      <w:lvlText w:val="%6."/>
      <w:lvlJc w:val="right"/>
      <w:pPr>
        <w:ind w:left="5040" w:hanging="180"/>
      </w:pPr>
    </w:lvl>
    <w:lvl w:ilvl="6" w:tplc="041D000F" w:tentative="1">
      <w:start w:val="1"/>
      <w:numFmt w:val="decimal"/>
      <w:lvlText w:val="%7."/>
      <w:lvlJc w:val="left"/>
      <w:pPr>
        <w:ind w:left="5760" w:hanging="360"/>
      </w:pPr>
    </w:lvl>
    <w:lvl w:ilvl="7" w:tplc="041D0019" w:tentative="1">
      <w:start w:val="1"/>
      <w:numFmt w:val="lowerLetter"/>
      <w:lvlText w:val="%8."/>
      <w:lvlJc w:val="left"/>
      <w:pPr>
        <w:ind w:left="6480" w:hanging="360"/>
      </w:pPr>
    </w:lvl>
    <w:lvl w:ilvl="8" w:tplc="041D001B" w:tentative="1">
      <w:start w:val="1"/>
      <w:numFmt w:val="lowerRoman"/>
      <w:lvlText w:val="%9."/>
      <w:lvlJc w:val="right"/>
      <w:pPr>
        <w:ind w:left="7200" w:hanging="180"/>
      </w:pPr>
    </w:lvl>
  </w:abstractNum>
  <w:abstractNum w:abstractNumId="2" w15:restartNumberingAfterBreak="0">
    <w:nsid w:val="20AA407D"/>
    <w:multiLevelType w:val="multilevel"/>
    <w:tmpl w:val="6500509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36482245"/>
    <w:multiLevelType w:val="hybridMultilevel"/>
    <w:tmpl w:val="DEC611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4B6F26E7"/>
    <w:multiLevelType w:val="hybridMultilevel"/>
    <w:tmpl w:val="6450E7B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55F97B19"/>
    <w:multiLevelType w:val="hybridMultilevel"/>
    <w:tmpl w:val="9C482414"/>
    <w:lvl w:ilvl="0" w:tplc="041D0017">
      <w:start w:val="1"/>
      <w:numFmt w:val="lowerLetter"/>
      <w:lvlText w:val="%1)"/>
      <w:lvlJc w:val="left"/>
      <w:pPr>
        <w:ind w:left="1440" w:hanging="360"/>
      </w:pPr>
      <w:rPr>
        <w:rFonts w:hint="default"/>
      </w:rPr>
    </w:lvl>
    <w:lvl w:ilvl="1" w:tplc="041D0019" w:tentative="1">
      <w:start w:val="1"/>
      <w:numFmt w:val="lowerLetter"/>
      <w:lvlText w:val="%2."/>
      <w:lvlJc w:val="left"/>
      <w:pPr>
        <w:ind w:left="2160" w:hanging="360"/>
      </w:pPr>
    </w:lvl>
    <w:lvl w:ilvl="2" w:tplc="041D001B" w:tentative="1">
      <w:start w:val="1"/>
      <w:numFmt w:val="lowerRoman"/>
      <w:lvlText w:val="%3."/>
      <w:lvlJc w:val="right"/>
      <w:pPr>
        <w:ind w:left="2880" w:hanging="180"/>
      </w:pPr>
    </w:lvl>
    <w:lvl w:ilvl="3" w:tplc="041D000F" w:tentative="1">
      <w:start w:val="1"/>
      <w:numFmt w:val="decimal"/>
      <w:lvlText w:val="%4."/>
      <w:lvlJc w:val="left"/>
      <w:pPr>
        <w:ind w:left="3600" w:hanging="360"/>
      </w:pPr>
    </w:lvl>
    <w:lvl w:ilvl="4" w:tplc="041D0019" w:tentative="1">
      <w:start w:val="1"/>
      <w:numFmt w:val="lowerLetter"/>
      <w:lvlText w:val="%5."/>
      <w:lvlJc w:val="left"/>
      <w:pPr>
        <w:ind w:left="4320" w:hanging="360"/>
      </w:pPr>
    </w:lvl>
    <w:lvl w:ilvl="5" w:tplc="041D001B" w:tentative="1">
      <w:start w:val="1"/>
      <w:numFmt w:val="lowerRoman"/>
      <w:lvlText w:val="%6."/>
      <w:lvlJc w:val="right"/>
      <w:pPr>
        <w:ind w:left="5040" w:hanging="180"/>
      </w:pPr>
    </w:lvl>
    <w:lvl w:ilvl="6" w:tplc="041D000F" w:tentative="1">
      <w:start w:val="1"/>
      <w:numFmt w:val="decimal"/>
      <w:lvlText w:val="%7."/>
      <w:lvlJc w:val="left"/>
      <w:pPr>
        <w:ind w:left="5760" w:hanging="360"/>
      </w:pPr>
    </w:lvl>
    <w:lvl w:ilvl="7" w:tplc="041D0019" w:tentative="1">
      <w:start w:val="1"/>
      <w:numFmt w:val="lowerLetter"/>
      <w:lvlText w:val="%8."/>
      <w:lvlJc w:val="left"/>
      <w:pPr>
        <w:ind w:left="6480" w:hanging="360"/>
      </w:pPr>
    </w:lvl>
    <w:lvl w:ilvl="8" w:tplc="041D001B" w:tentative="1">
      <w:start w:val="1"/>
      <w:numFmt w:val="lowerRoman"/>
      <w:lvlText w:val="%9."/>
      <w:lvlJc w:val="right"/>
      <w:pPr>
        <w:ind w:left="7200" w:hanging="180"/>
      </w:pPr>
    </w:lvl>
  </w:abstractNum>
  <w:abstractNum w:abstractNumId="6" w15:restartNumberingAfterBreak="0">
    <w:nsid w:val="56C22152"/>
    <w:multiLevelType w:val="hybridMultilevel"/>
    <w:tmpl w:val="90B03564"/>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F">
      <w:start w:val="1"/>
      <w:numFmt w:val="decimal"/>
      <w:lvlText w:val="%4."/>
      <w:lvlJc w:val="left"/>
      <w:pPr>
        <w:ind w:left="2880" w:hanging="360"/>
      </w:pPr>
      <w:rPr>
        <w:rFonts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57825131"/>
    <w:multiLevelType w:val="hybridMultilevel"/>
    <w:tmpl w:val="30FECDF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60921695"/>
    <w:multiLevelType w:val="hybridMultilevel"/>
    <w:tmpl w:val="3178198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7CAD3AC7"/>
    <w:multiLevelType w:val="hybridMultilevel"/>
    <w:tmpl w:val="1264E40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7F647816"/>
    <w:multiLevelType w:val="hybridMultilevel"/>
    <w:tmpl w:val="48C6312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3"/>
  </w:num>
  <w:num w:numId="4">
    <w:abstractNumId w:val="9"/>
  </w:num>
  <w:num w:numId="5">
    <w:abstractNumId w:val="10"/>
  </w:num>
  <w:num w:numId="6">
    <w:abstractNumId w:val="0"/>
  </w:num>
  <w:num w:numId="7">
    <w:abstractNumId w:val="1"/>
  </w:num>
  <w:num w:numId="8">
    <w:abstractNumId w:val="5"/>
  </w:num>
  <w:num w:numId="9">
    <w:abstractNumId w:val="4"/>
  </w:num>
  <w:num w:numId="10">
    <w:abstractNumId w:val="7"/>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2749"/>
    <w:rsid w:val="0000147A"/>
    <w:rsid w:val="00006D0F"/>
    <w:rsid w:val="00023A41"/>
    <w:rsid w:val="00035BF3"/>
    <w:rsid w:val="0004507A"/>
    <w:rsid w:val="00046ACE"/>
    <w:rsid w:val="00062A64"/>
    <w:rsid w:val="00072373"/>
    <w:rsid w:val="00080BA2"/>
    <w:rsid w:val="00083660"/>
    <w:rsid w:val="00085EBB"/>
    <w:rsid w:val="000B6EB6"/>
    <w:rsid w:val="000C245E"/>
    <w:rsid w:val="000C2C6B"/>
    <w:rsid w:val="001171FA"/>
    <w:rsid w:val="00121AEF"/>
    <w:rsid w:val="00123D33"/>
    <w:rsid w:val="00151FF3"/>
    <w:rsid w:val="00167B7E"/>
    <w:rsid w:val="001836D5"/>
    <w:rsid w:val="00194B63"/>
    <w:rsid w:val="001A0FAD"/>
    <w:rsid w:val="001A2340"/>
    <w:rsid w:val="001B4BFF"/>
    <w:rsid w:val="001D0521"/>
    <w:rsid w:val="001E063B"/>
    <w:rsid w:val="001F4045"/>
    <w:rsid w:val="001F73BE"/>
    <w:rsid w:val="002242D7"/>
    <w:rsid w:val="00224C10"/>
    <w:rsid w:val="0023082C"/>
    <w:rsid w:val="00243195"/>
    <w:rsid w:val="00251B30"/>
    <w:rsid w:val="00272CC4"/>
    <w:rsid w:val="00277F4A"/>
    <w:rsid w:val="00280B4B"/>
    <w:rsid w:val="00290E11"/>
    <w:rsid w:val="002A0C68"/>
    <w:rsid w:val="002B0DCA"/>
    <w:rsid w:val="002F7CC8"/>
    <w:rsid w:val="00306E8D"/>
    <w:rsid w:val="00307428"/>
    <w:rsid w:val="003235E8"/>
    <w:rsid w:val="00342F40"/>
    <w:rsid w:val="0035043F"/>
    <w:rsid w:val="00353421"/>
    <w:rsid w:val="00355BFE"/>
    <w:rsid w:val="00363C33"/>
    <w:rsid w:val="00397C5F"/>
    <w:rsid w:val="003A572B"/>
    <w:rsid w:val="003A6F8A"/>
    <w:rsid w:val="003B08BA"/>
    <w:rsid w:val="003C4657"/>
    <w:rsid w:val="003E2B94"/>
    <w:rsid w:val="003E4847"/>
    <w:rsid w:val="00403F6E"/>
    <w:rsid w:val="00412749"/>
    <w:rsid w:val="0042473C"/>
    <w:rsid w:val="00430F8F"/>
    <w:rsid w:val="00436623"/>
    <w:rsid w:val="00442E2D"/>
    <w:rsid w:val="00461294"/>
    <w:rsid w:val="0046418A"/>
    <w:rsid w:val="0049249E"/>
    <w:rsid w:val="00497199"/>
    <w:rsid w:val="004C5FB3"/>
    <w:rsid w:val="004D7090"/>
    <w:rsid w:val="00501847"/>
    <w:rsid w:val="00510EA2"/>
    <w:rsid w:val="0052414F"/>
    <w:rsid w:val="00552BD1"/>
    <w:rsid w:val="00556E5D"/>
    <w:rsid w:val="005608C9"/>
    <w:rsid w:val="005702AE"/>
    <w:rsid w:val="00592D12"/>
    <w:rsid w:val="005A052D"/>
    <w:rsid w:val="005A1821"/>
    <w:rsid w:val="005A3054"/>
    <w:rsid w:val="005B3EB8"/>
    <w:rsid w:val="005C1504"/>
    <w:rsid w:val="005C4D1A"/>
    <w:rsid w:val="005D04AC"/>
    <w:rsid w:val="00605229"/>
    <w:rsid w:val="006A4A66"/>
    <w:rsid w:val="006A63D9"/>
    <w:rsid w:val="006B771C"/>
    <w:rsid w:val="006C297F"/>
    <w:rsid w:val="006D43D1"/>
    <w:rsid w:val="006D59B7"/>
    <w:rsid w:val="006D677C"/>
    <w:rsid w:val="006F1AF7"/>
    <w:rsid w:val="00701536"/>
    <w:rsid w:val="00712FB4"/>
    <w:rsid w:val="00720E04"/>
    <w:rsid w:val="00726D9D"/>
    <w:rsid w:val="00733A4B"/>
    <w:rsid w:val="00744E34"/>
    <w:rsid w:val="00747044"/>
    <w:rsid w:val="007570A9"/>
    <w:rsid w:val="007610C5"/>
    <w:rsid w:val="00781027"/>
    <w:rsid w:val="0078625C"/>
    <w:rsid w:val="007B2A23"/>
    <w:rsid w:val="007C1CD1"/>
    <w:rsid w:val="007E633E"/>
    <w:rsid w:val="007F70A7"/>
    <w:rsid w:val="008014D2"/>
    <w:rsid w:val="00802EF0"/>
    <w:rsid w:val="00813117"/>
    <w:rsid w:val="008136B0"/>
    <w:rsid w:val="00821DEB"/>
    <w:rsid w:val="008266FF"/>
    <w:rsid w:val="00844175"/>
    <w:rsid w:val="0085267E"/>
    <w:rsid w:val="008527F6"/>
    <w:rsid w:val="00863C4D"/>
    <w:rsid w:val="00870C73"/>
    <w:rsid w:val="00874FE5"/>
    <w:rsid w:val="008831D8"/>
    <w:rsid w:val="0088674D"/>
    <w:rsid w:val="008A795D"/>
    <w:rsid w:val="008A796B"/>
    <w:rsid w:val="008B05AA"/>
    <w:rsid w:val="009323E3"/>
    <w:rsid w:val="00941F22"/>
    <w:rsid w:val="00942714"/>
    <w:rsid w:val="009476E5"/>
    <w:rsid w:val="009508EA"/>
    <w:rsid w:val="0097202A"/>
    <w:rsid w:val="00976E87"/>
    <w:rsid w:val="009877BF"/>
    <w:rsid w:val="009C55AD"/>
    <w:rsid w:val="009D03DC"/>
    <w:rsid w:val="009D3907"/>
    <w:rsid w:val="00A03FD4"/>
    <w:rsid w:val="00A10C9F"/>
    <w:rsid w:val="00A13D97"/>
    <w:rsid w:val="00A14AD7"/>
    <w:rsid w:val="00A57288"/>
    <w:rsid w:val="00A62747"/>
    <w:rsid w:val="00A64A2C"/>
    <w:rsid w:val="00A85B3C"/>
    <w:rsid w:val="00AC7C75"/>
    <w:rsid w:val="00AD3C33"/>
    <w:rsid w:val="00AF660A"/>
    <w:rsid w:val="00B27BA6"/>
    <w:rsid w:val="00B32AD5"/>
    <w:rsid w:val="00B47464"/>
    <w:rsid w:val="00B8126D"/>
    <w:rsid w:val="00B856EB"/>
    <w:rsid w:val="00B85E26"/>
    <w:rsid w:val="00B8630B"/>
    <w:rsid w:val="00BA1355"/>
    <w:rsid w:val="00BA4833"/>
    <w:rsid w:val="00BA664D"/>
    <w:rsid w:val="00BB7F0A"/>
    <w:rsid w:val="00BC2194"/>
    <w:rsid w:val="00BC2DEE"/>
    <w:rsid w:val="00BC79CF"/>
    <w:rsid w:val="00BF1156"/>
    <w:rsid w:val="00C0026B"/>
    <w:rsid w:val="00C54485"/>
    <w:rsid w:val="00C600BA"/>
    <w:rsid w:val="00C633F0"/>
    <w:rsid w:val="00C66BD6"/>
    <w:rsid w:val="00C80FC5"/>
    <w:rsid w:val="00C93AE9"/>
    <w:rsid w:val="00C947F3"/>
    <w:rsid w:val="00C96A08"/>
    <w:rsid w:val="00CA58EF"/>
    <w:rsid w:val="00CB4C22"/>
    <w:rsid w:val="00CD13B3"/>
    <w:rsid w:val="00CE0766"/>
    <w:rsid w:val="00CE2FAD"/>
    <w:rsid w:val="00D01E27"/>
    <w:rsid w:val="00D04A23"/>
    <w:rsid w:val="00D410C8"/>
    <w:rsid w:val="00D445A7"/>
    <w:rsid w:val="00D513DD"/>
    <w:rsid w:val="00D80C27"/>
    <w:rsid w:val="00D81603"/>
    <w:rsid w:val="00D85C15"/>
    <w:rsid w:val="00D94A82"/>
    <w:rsid w:val="00DC6B50"/>
    <w:rsid w:val="00DD2B89"/>
    <w:rsid w:val="00DF02A5"/>
    <w:rsid w:val="00E128C7"/>
    <w:rsid w:val="00E20EEB"/>
    <w:rsid w:val="00E54B2A"/>
    <w:rsid w:val="00E86161"/>
    <w:rsid w:val="00E8786C"/>
    <w:rsid w:val="00E95508"/>
    <w:rsid w:val="00EA6725"/>
    <w:rsid w:val="00EB45CD"/>
    <w:rsid w:val="00EC51CD"/>
    <w:rsid w:val="00ED6B75"/>
    <w:rsid w:val="00EE0B04"/>
    <w:rsid w:val="00EF1F3A"/>
    <w:rsid w:val="00EF7205"/>
    <w:rsid w:val="00F35CBC"/>
    <w:rsid w:val="00F62434"/>
    <w:rsid w:val="00F657B2"/>
    <w:rsid w:val="00F75DA6"/>
    <w:rsid w:val="00F830A1"/>
    <w:rsid w:val="00FA699B"/>
    <w:rsid w:val="00FD1CEF"/>
    <w:rsid w:val="00FD28E6"/>
    <w:rsid w:val="00FE239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2289"/>
    <o:shapelayout v:ext="edit">
      <o:idmap v:ext="edit" data="1"/>
    </o:shapelayout>
  </w:shapeDefaults>
  <w:decimalSymbol w:val=","/>
  <w:listSeparator w:val=";"/>
  <w14:docId w14:val="3A6D5755"/>
  <w15:docId w15:val="{7900C053-A053-44A0-A392-2B3657F96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277F4A"/>
    <w:rPr>
      <w:rFonts w:ascii="Garamond" w:hAnsi="Garamond"/>
      <w:color w:val="000000" w:themeColor="text1"/>
      <w:sz w:val="24"/>
      <w:szCs w:val="24"/>
    </w:rPr>
  </w:style>
  <w:style w:type="paragraph" w:styleId="Rubrik1">
    <w:name w:val="heading 1"/>
    <w:next w:val="Brdtext1"/>
    <w:link w:val="Rubrik1Char"/>
    <w:qFormat/>
    <w:rsid w:val="00EC51CD"/>
    <w:pPr>
      <w:spacing w:before="120" w:after="60"/>
      <w:outlineLvl w:val="0"/>
    </w:pPr>
    <w:rPr>
      <w:rFonts w:ascii="Calibri" w:hAnsi="Calibri" w:cs="Arial"/>
      <w:color w:val="000000" w:themeColor="text1"/>
      <w:sz w:val="36"/>
      <w:szCs w:val="24"/>
    </w:rPr>
  </w:style>
  <w:style w:type="paragraph" w:styleId="Rubrik2">
    <w:name w:val="heading 2"/>
    <w:next w:val="Brdtext1"/>
    <w:link w:val="Rubrik2Char"/>
    <w:qFormat/>
    <w:rsid w:val="00EC51CD"/>
    <w:pPr>
      <w:spacing w:before="120" w:after="60"/>
      <w:outlineLvl w:val="1"/>
    </w:pPr>
    <w:rPr>
      <w:rFonts w:ascii="Calibri" w:hAnsi="Calibri" w:cs="Arial"/>
      <w:sz w:val="32"/>
      <w:szCs w:val="24"/>
    </w:rPr>
  </w:style>
  <w:style w:type="paragraph" w:styleId="Rubrik3">
    <w:name w:val="heading 3"/>
    <w:next w:val="Brdtext1"/>
    <w:link w:val="Rubrik3Char"/>
    <w:qFormat/>
    <w:rsid w:val="00EC51CD"/>
    <w:pPr>
      <w:spacing w:before="120" w:after="60"/>
      <w:outlineLvl w:val="2"/>
    </w:pPr>
    <w:rPr>
      <w:rFonts w:ascii="Calibri" w:hAnsi="Calibri" w:cs="Arial"/>
      <w:b/>
      <w:color w:val="000000" w:themeColor="text1"/>
      <w:sz w:val="28"/>
      <w:szCs w:val="24"/>
    </w:rPr>
  </w:style>
  <w:style w:type="paragraph" w:styleId="Rubrik4">
    <w:name w:val="heading 4"/>
    <w:next w:val="Brdtext1"/>
    <w:link w:val="Rubrik4Char"/>
    <w:qFormat/>
    <w:rsid w:val="00EC51CD"/>
    <w:pPr>
      <w:spacing w:before="120" w:after="60"/>
      <w:outlineLvl w:val="3"/>
    </w:pPr>
    <w:rPr>
      <w:rFonts w:ascii="Calibri" w:hAnsi="Calibri" w:cs="Arial"/>
      <w:b/>
      <w:color w:val="000000" w:themeColor="text1"/>
      <w:sz w:val="24"/>
      <w:szCs w:val="24"/>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Brdtext1"/>
    <w:rsid w:val="00353421"/>
    <w:pPr>
      <w:tabs>
        <w:tab w:val="center" w:pos="4536"/>
        <w:tab w:val="right" w:pos="9072"/>
      </w:tabs>
    </w:pPr>
  </w:style>
  <w:style w:type="paragraph" w:styleId="Sidfot">
    <w:name w:val="footer"/>
    <w:basedOn w:val="Brdtext1"/>
    <w:rsid w:val="00353421"/>
    <w:pPr>
      <w:tabs>
        <w:tab w:val="center" w:pos="4536"/>
        <w:tab w:val="right" w:pos="9072"/>
      </w:tabs>
    </w:pPr>
  </w:style>
  <w:style w:type="paragraph" w:customStyle="1" w:styleId="Ledtext">
    <w:name w:val="Ledtext"/>
    <w:basedOn w:val="Sidhuvud"/>
    <w:rsid w:val="00EC51CD"/>
    <w:pPr>
      <w:tabs>
        <w:tab w:val="clear" w:pos="4536"/>
        <w:tab w:val="clear" w:pos="9072"/>
      </w:tabs>
      <w:spacing w:before="120"/>
    </w:pPr>
    <w:rPr>
      <w:rFonts w:ascii="Calibri" w:hAnsi="Calibri" w:cs="Arial"/>
      <w:bCs/>
      <w:sz w:val="17"/>
      <w:szCs w:val="20"/>
    </w:rPr>
  </w:style>
  <w:style w:type="character" w:styleId="Sidnummer">
    <w:name w:val="page number"/>
    <w:basedOn w:val="BrdtextChar"/>
    <w:rsid w:val="001836D5"/>
    <w:rPr>
      <w:rFonts w:ascii="Garamond" w:hAnsi="Garamond"/>
      <w:color w:val="000000" w:themeColor="text1"/>
      <w:sz w:val="24"/>
      <w:szCs w:val="24"/>
    </w:rPr>
  </w:style>
  <w:style w:type="character" w:styleId="Platshllartext">
    <w:name w:val="Placeholder Text"/>
    <w:basedOn w:val="Standardstycketeckensnitt"/>
    <w:uiPriority w:val="99"/>
    <w:semiHidden/>
    <w:rsid w:val="00F830A1"/>
    <w:rPr>
      <w:color w:val="808080"/>
    </w:rPr>
  </w:style>
  <w:style w:type="character" w:customStyle="1" w:styleId="Rubrik1Char">
    <w:name w:val="Rubrik 1 Char"/>
    <w:basedOn w:val="Standardstycketeckensnitt"/>
    <w:link w:val="Rubrik1"/>
    <w:rsid w:val="00EC51CD"/>
    <w:rPr>
      <w:rFonts w:ascii="Calibri" w:hAnsi="Calibri" w:cs="Arial"/>
      <w:color w:val="000000" w:themeColor="text1"/>
      <w:sz w:val="36"/>
      <w:szCs w:val="24"/>
    </w:rPr>
  </w:style>
  <w:style w:type="paragraph" w:styleId="Rubrik">
    <w:name w:val="Title"/>
    <w:basedOn w:val="Rubrik1"/>
    <w:next w:val="Brdtext1"/>
    <w:link w:val="RubrikChar"/>
    <w:qFormat/>
    <w:rsid w:val="00EC51CD"/>
    <w:pPr>
      <w:spacing w:before="240"/>
    </w:pPr>
    <w:rPr>
      <w:sz w:val="40"/>
    </w:rPr>
  </w:style>
  <w:style w:type="character" w:customStyle="1" w:styleId="RubrikChar">
    <w:name w:val="Rubrik Char"/>
    <w:basedOn w:val="Standardstycketeckensnitt"/>
    <w:link w:val="Rubrik"/>
    <w:rsid w:val="00EC51CD"/>
    <w:rPr>
      <w:rFonts w:ascii="Calibri" w:hAnsi="Calibri" w:cs="Arial"/>
      <w:color w:val="000000" w:themeColor="text1"/>
      <w:sz w:val="40"/>
      <w:szCs w:val="24"/>
    </w:rPr>
  </w:style>
  <w:style w:type="character" w:customStyle="1" w:styleId="Rubrik3Char">
    <w:name w:val="Rubrik 3 Char"/>
    <w:basedOn w:val="Standardstycketeckensnitt"/>
    <w:link w:val="Rubrik3"/>
    <w:rsid w:val="00EC51CD"/>
    <w:rPr>
      <w:rFonts w:ascii="Calibri" w:hAnsi="Calibri" w:cs="Arial"/>
      <w:b/>
      <w:color w:val="000000" w:themeColor="text1"/>
      <w:sz w:val="28"/>
      <w:szCs w:val="24"/>
    </w:rPr>
  </w:style>
  <w:style w:type="character" w:customStyle="1" w:styleId="Rubrik2Char">
    <w:name w:val="Rubrik 2 Char"/>
    <w:basedOn w:val="Standardstycketeckensnitt"/>
    <w:link w:val="Rubrik2"/>
    <w:rsid w:val="00EC51CD"/>
    <w:rPr>
      <w:rFonts w:ascii="Calibri" w:hAnsi="Calibri" w:cs="Arial"/>
      <w:sz w:val="32"/>
      <w:szCs w:val="24"/>
    </w:rPr>
  </w:style>
  <w:style w:type="character" w:customStyle="1" w:styleId="Rubrik4Char">
    <w:name w:val="Rubrik 4 Char"/>
    <w:basedOn w:val="Standardstycketeckensnitt"/>
    <w:link w:val="Rubrik4"/>
    <w:rsid w:val="00EC51CD"/>
    <w:rPr>
      <w:rFonts w:ascii="Calibri" w:hAnsi="Calibri" w:cs="Arial"/>
      <w:b/>
      <w:color w:val="000000" w:themeColor="text1"/>
      <w:sz w:val="24"/>
      <w:szCs w:val="24"/>
    </w:rPr>
  </w:style>
  <w:style w:type="paragraph" w:customStyle="1" w:styleId="SidhuvudRubrik">
    <w:name w:val="SidhuvudRubrik"/>
    <w:basedOn w:val="Ledtext"/>
    <w:qFormat/>
    <w:rsid w:val="00C633F0"/>
    <w:pPr>
      <w:framePr w:hSpace="141" w:wrap="around" w:vAnchor="text" w:hAnchor="text" w:xAlign="center" w:y="1"/>
      <w:suppressOverlap/>
    </w:pPr>
    <w:rPr>
      <w:b/>
      <w:sz w:val="24"/>
    </w:rPr>
  </w:style>
  <w:style w:type="paragraph" w:customStyle="1" w:styleId="Textruta">
    <w:name w:val="Textruta"/>
    <w:link w:val="TextrutaChar"/>
    <w:qFormat/>
    <w:rsid w:val="00EC51CD"/>
    <w:rPr>
      <w:rFonts w:ascii="Garamond" w:hAnsi="Garamond"/>
      <w:sz w:val="24"/>
    </w:rPr>
  </w:style>
  <w:style w:type="character" w:customStyle="1" w:styleId="TextrutaChar">
    <w:name w:val="Textruta Char"/>
    <w:basedOn w:val="Standardstycketeckensnitt"/>
    <w:link w:val="Textruta"/>
    <w:rsid w:val="00EC51CD"/>
    <w:rPr>
      <w:rFonts w:ascii="Garamond" w:hAnsi="Garamond"/>
      <w:sz w:val="24"/>
    </w:rPr>
  </w:style>
  <w:style w:type="paragraph" w:customStyle="1" w:styleId="Normal-tt">
    <w:name w:val="Normal - tät"/>
    <w:basedOn w:val="Normal"/>
    <w:rsid w:val="00D2600D"/>
    <w:rPr>
      <w:color w:val="auto"/>
      <w:szCs w:val="20"/>
    </w:rPr>
  </w:style>
  <w:style w:type="paragraph" w:customStyle="1" w:styleId="Brdtext1">
    <w:name w:val="Brödtext1"/>
    <w:link w:val="BrdtextChar"/>
    <w:qFormat/>
    <w:rsid w:val="00EC51CD"/>
    <w:rPr>
      <w:rFonts w:ascii="Garamond" w:hAnsi="Garamond"/>
      <w:color w:val="000000" w:themeColor="text1"/>
      <w:sz w:val="24"/>
      <w:szCs w:val="24"/>
    </w:rPr>
  </w:style>
  <w:style w:type="numbering" w:customStyle="1" w:styleId="Kravtext">
    <w:name w:val="Kravtext"/>
  </w:style>
  <w:style w:type="paragraph" w:customStyle="1" w:styleId="Brdtextdold">
    <w:name w:val="Brödtext dold"/>
    <w:basedOn w:val="Brdtext1"/>
    <w:link w:val="BrdtextdoldChar"/>
    <w:rsid w:val="000C2C6B"/>
    <w:rPr>
      <w:vanish/>
      <w:color w:val="FF0000"/>
    </w:rPr>
  </w:style>
  <w:style w:type="character" w:customStyle="1" w:styleId="BrdtextdoldChar">
    <w:name w:val="Brödtext dold Char"/>
    <w:basedOn w:val="BrdtextChar"/>
    <w:link w:val="Brdtextdold"/>
    <w:rsid w:val="000C2C6B"/>
    <w:rPr>
      <w:rFonts w:ascii="Garamond" w:hAnsi="Garamond"/>
      <w:vanish/>
      <w:color w:val="FF0000"/>
      <w:sz w:val="22"/>
      <w:szCs w:val="24"/>
    </w:rPr>
  </w:style>
  <w:style w:type="character" w:customStyle="1" w:styleId="BrdtextChar">
    <w:name w:val="Brödtext Char"/>
    <w:basedOn w:val="Standardstycketeckensnitt"/>
    <w:link w:val="Brdtext1"/>
    <w:rsid w:val="00EC51CD"/>
    <w:rPr>
      <w:rFonts w:ascii="Garamond" w:hAnsi="Garamond"/>
      <w:color w:val="000000" w:themeColor="text1"/>
      <w:sz w:val="24"/>
      <w:szCs w:val="24"/>
    </w:rPr>
  </w:style>
  <w:style w:type="paragraph" w:styleId="Ballongtext">
    <w:name w:val="Balloon Text"/>
    <w:basedOn w:val="Normal"/>
    <w:link w:val="BallongtextChar"/>
    <w:rsid w:val="005C4D1A"/>
    <w:rPr>
      <w:rFonts w:ascii="Tahoma" w:hAnsi="Tahoma" w:cs="Tahoma"/>
      <w:sz w:val="16"/>
      <w:szCs w:val="16"/>
    </w:rPr>
  </w:style>
  <w:style w:type="character" w:customStyle="1" w:styleId="BallongtextChar">
    <w:name w:val="Ballongtext Char"/>
    <w:basedOn w:val="Standardstycketeckensnitt"/>
    <w:link w:val="Ballongtext"/>
    <w:rsid w:val="005C4D1A"/>
    <w:rPr>
      <w:rFonts w:ascii="Tahoma" w:hAnsi="Tahoma" w:cs="Tahoma"/>
      <w:color w:val="000000" w:themeColor="text1"/>
      <w:sz w:val="16"/>
      <w:szCs w:val="16"/>
    </w:rPr>
  </w:style>
  <w:style w:type="character" w:styleId="Hyperlnk">
    <w:name w:val="Hyperlink"/>
    <w:basedOn w:val="Standardstycketeckensnitt"/>
    <w:unhideWhenUsed/>
    <w:rsid w:val="00430F8F"/>
    <w:rPr>
      <w:color w:val="0000FF" w:themeColor="hyperlink"/>
      <w:u w:val="single"/>
    </w:rPr>
  </w:style>
  <w:style w:type="paragraph" w:customStyle="1" w:styleId="Default">
    <w:name w:val="Default"/>
    <w:rsid w:val="00D01E27"/>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23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sakerhetspolisen.se/sakerhetsskydd/sakerhetsprovning.htm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sakint.se/Registerkontrolldelegation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FMVDocument xmlns="http://www.dunite.se/2011/04/FMVDocument">
  <Case>
    <Reference Name="Diarienummer"/>
    <Type Name="Ärendetyp"/>
    <ResponsibleOfficial Name="Ansvarig handläggare"/>
  </Case>
  <Project>
    <Name Name="Projektbenämning"/>
    <Reference Name="AO-IO"/>
    <MSName Name="MS Benämning"/>
    <MSReference Name="MS Nummer"/>
  </Project>
  <Document>
    <ResponsibleUnit Name="Ansvarig enhet"/>
    <Office_Responsible_Phone Name="FMV tjänsteställe, handläggare, telefon" Multivalue="true"/>
    <Date Name="Datum">2019-03-29T00:00:00</Date>
    <DecisionMaker Name="Beslutande"/>
    <Rapporteur Name="Föredragande"/>
    <OthersPresent Name="I övrigt närvarande"/>
    <Reference Name="Dokumentnummer"/>
    <ValidUntil Name="Giltigt t.o.m."/>
    <Cancels Name="Upphäver"/>
    <PreviousReference Name="FMV föregående diarienummer"/>
    <PreviousDate Name="FMV föregående datum"/>
  </Document>
  <Receiver>
    <Reference Name="Er referens"/>
    <Date Name="Ert datum"/>
    <DocumentReference Name="Er beteckning"/>
    <Address Name="Mottagare"/>
  </Receiver>
</FMVDocument>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92945EF2878E494B89CE62C523A54A26" ma:contentTypeVersion="3" ma:contentTypeDescription="Skapa ett nytt dokument." ma:contentTypeScope="" ma:versionID="5bc933b343d6a9180c9d1fc099d4f5c8">
  <xsd:schema xmlns:xsd="http://www.w3.org/2001/XMLSchema" xmlns:xs="http://www.w3.org/2001/XMLSchema" xmlns:p="http://schemas.microsoft.com/office/2006/metadata/properties" xmlns:ns1="http://schemas.microsoft.com/sharepoint/v3" xmlns:ns2="7a46d75d-58d4-4e91-becb-e0a3eeded0cb" targetNamespace="http://schemas.microsoft.com/office/2006/metadata/properties" ma:root="true" ma:fieldsID="15043eea314950339c82a3944e55ed1e" ns1:_="" ns2:_="">
    <xsd:import namespace="http://schemas.microsoft.com/sharepoint/v3"/>
    <xsd:import namespace="7a46d75d-58d4-4e91-becb-e0a3eeded0cb"/>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malagt startdatum" ma:description="Schemalagt startdatum är en webbplatskolumn som skapas via publiceringsfunktionen. Den används för att ange datum och tid för när sidan ska visas för besökare på webbplatsen för första gången." ma:hidden="true" ma:internalName="PublishingStartDate">
      <xsd:simpleType>
        <xsd:restriction base="dms:Unknown"/>
      </xsd:simpleType>
    </xsd:element>
    <xsd:element name="PublishingExpirationDate" ma:index="5" nillable="true" ma:displayName="Schemalagt slutdatum" ma:description="Schemalagt slutdatum är en webbplatskolumn som skapas via publiceringsfunktionen. Den används för att ange datum och tid för när sidan inte längre ska visas för besökare på webbplatse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46d75d-58d4-4e91-becb-e0a3eeded0cb" elementFormDefault="qualified">
    <xsd:import namespace="http://schemas.microsoft.com/office/2006/documentManagement/types"/>
    <xsd:import namespace="http://schemas.microsoft.com/office/infopath/2007/PartnerControls"/>
    <xsd:element name="_dlc_DocId" ma:index="6" nillable="true" ma:displayName="Dokument-ID-värde" ma:description="Värdet för dokument-ID som tilldelats till det här objektet." ma:internalName="_dlc_DocId" ma:readOnly="true">
      <xsd:simpleType>
        <xsd:restriction base="dms:Text"/>
      </xsd:simpleType>
    </xsd:element>
    <xsd:element name="_dlc_DocIdUrl" ma:index="7"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8" nillable="true" ma:displayName="Persist ID" ma:description="Keep ID on add." ma:hidden="true" ma:internalName="_dlc_DocIdPersistId" ma:readOnly="true">
      <xsd:simpleType>
        <xsd:restriction base="dms:Boolean"/>
      </xsd:simpleType>
    </xsd:element>
    <xsd:element name="SharedWithUsers" ma:index="13"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7a46d75d-58d4-4e91-becb-e0a3eeded0cb">37CJHHDSN275-564459896-17</_dlc_DocId>
    <_dlc_DocIdUrl xmlns="7a46d75d-58d4-4e91-becb-e0a3eeded0cb">
      <Url>https://insidan2.fmv.se/sa-fungerar-fmv/sakerhet/_layouts/15/DocIdRedir.aspx?ID=37CJHHDSN275-564459896-17</Url>
      <Description>37CJHHDSN275-564459896-17</Description>
    </_dlc_DocIdUrl>
    <PublishingExpirationDate xmlns="http://schemas.microsoft.com/sharepoint/v3" xsi:nil="true"/>
    <PublishingStartDate xmlns="http://schemas.microsoft.com/sharepoint/v3"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b:Sources>
</file>

<file path=customXml/itemProps1.xml><?xml version="1.0" encoding="utf-8"?>
<ds:datastoreItem xmlns:ds="http://schemas.openxmlformats.org/officeDocument/2006/customXml" ds:itemID="{066B67A3-4EFD-47A0-8A0C-7AC8510E96E3}">
  <ds:schemaRefs>
    <ds:schemaRef ds:uri="http://www.dunite.se/2011/04/FMVDocument"/>
  </ds:schemaRefs>
</ds:datastoreItem>
</file>

<file path=customXml/itemProps2.xml><?xml version="1.0" encoding="utf-8"?>
<ds:datastoreItem xmlns:ds="http://schemas.openxmlformats.org/officeDocument/2006/customXml" ds:itemID="{44681BB1-6BBF-4474-A376-0F7B82A3311E}">
  <ds:schemaRefs>
    <ds:schemaRef ds:uri="http://schemas.microsoft.com/sharepoint/events"/>
  </ds:schemaRefs>
</ds:datastoreItem>
</file>

<file path=customXml/itemProps3.xml><?xml version="1.0" encoding="utf-8"?>
<ds:datastoreItem xmlns:ds="http://schemas.openxmlformats.org/officeDocument/2006/customXml" ds:itemID="{7EFEB2FF-6443-4A3E-8EF2-2FD380A1DE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a46d75d-58d4-4e91-becb-e0a3eeded0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75BA77-79C6-4F47-9C29-8A303E5CCF28}">
  <ds:schemaRef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7a46d75d-58d4-4e91-becb-e0a3eeded0cb"/>
    <ds:schemaRef ds:uri="http://purl.org/dc/elements/1.1/"/>
    <ds:schemaRef ds:uri="http://schemas.microsoft.com/office/2006/metadata/properties"/>
    <ds:schemaRef ds:uri="http://www.w3.org/XML/1998/namespace"/>
    <ds:schemaRef ds:uri="http://purl.org/dc/dcmitype/"/>
  </ds:schemaRefs>
</ds:datastoreItem>
</file>

<file path=customXml/itemProps5.xml><?xml version="1.0" encoding="utf-8"?>
<ds:datastoreItem xmlns:ds="http://schemas.openxmlformats.org/officeDocument/2006/customXml" ds:itemID="{06038800-DFB7-4A1C-9EF4-8FA05954867C}">
  <ds:schemaRefs>
    <ds:schemaRef ds:uri="http://schemas.microsoft.com/sharepoint/v3/contenttype/forms"/>
  </ds:schemaRefs>
</ds:datastoreItem>
</file>

<file path=customXml/itemProps6.xml><?xml version="1.0" encoding="utf-8"?>
<ds:datastoreItem xmlns:ds="http://schemas.openxmlformats.org/officeDocument/2006/customXml" ds:itemID="{5D6A4C87-2039-4510-82AE-3B2F390386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1221</Words>
  <Characters>8245</Characters>
  <Application>Microsoft Office Word</Application>
  <DocSecurity>0</DocSecurity>
  <Lines>68</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FMV</Company>
  <LinksUpToDate>false</LinksUpToDate>
  <CharactersWithSpaces>9448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Ackert, Carina caack</dc:creator>
  <cp:lastModifiedBy>Harne, Mattias mahar</cp:lastModifiedBy>
  <cp:revision>4</cp:revision>
  <cp:lastPrinted>2011-04-06T13:59:00Z</cp:lastPrinted>
  <dcterms:created xsi:type="dcterms:W3CDTF">2020-02-16T14:36:00Z</dcterms:created>
  <dcterms:modified xsi:type="dcterms:W3CDTF">2020-02-16T15:01:00Z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0x01010092945EF2878E494B89CE62C523A54A26</vt:lpwstr>
  </property>
  <property fmtid="{D5CDD505-2E9C-101B-9397-08002B2CF9AE}" pid="3" name="_dlc_DocIdItemGuid">
    <vt:lpwstr>bb916d19-5a4c-4405-b022-7697ffa72671</vt:lpwstr>
  </property>
</Properties>
</file>